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01" w:type="dxa"/>
        <w:shd w:val="clear" w:color="auto" w:fill="F6F6F6"/>
        <w:tblCellMar>
          <w:left w:w="0" w:type="dxa"/>
          <w:right w:w="0" w:type="dxa"/>
        </w:tblCellMar>
        <w:tblLook w:val="04A0" w:firstRow="1" w:lastRow="0" w:firstColumn="1" w:lastColumn="0" w:noHBand="0" w:noVBand="1"/>
        <w:tblDescription w:val="Entête du message"/>
      </w:tblPr>
      <w:tblGrid>
        <w:gridCol w:w="974"/>
        <w:gridCol w:w="7131"/>
        <w:gridCol w:w="1596"/>
      </w:tblGrid>
      <w:tr w:rsidR="002F3DDE" w:rsidRPr="002F3DDE" w14:paraId="3A9FF4A3" w14:textId="77777777" w:rsidTr="002F3DDE">
        <w:trPr>
          <w:trHeight w:val="335"/>
        </w:trPr>
        <w:tc>
          <w:tcPr>
            <w:tcW w:w="974" w:type="dxa"/>
            <w:shd w:val="clear" w:color="auto" w:fill="FFFFFF"/>
            <w:tcMar>
              <w:top w:w="0" w:type="dxa"/>
              <w:left w:w="150" w:type="dxa"/>
              <w:bottom w:w="0" w:type="dxa"/>
              <w:right w:w="150" w:type="dxa"/>
            </w:tcMar>
            <w:vAlign w:val="center"/>
            <w:hideMark/>
          </w:tcPr>
          <w:p w14:paraId="7F5D60A8" w14:textId="77777777" w:rsidR="002F3DDE" w:rsidRPr="002F3DDE" w:rsidRDefault="002F3DDE" w:rsidP="002F3DDE">
            <w:pPr>
              <w:spacing w:after="0" w:line="330" w:lineRule="atLeast"/>
              <w:jc w:val="right"/>
              <w:rPr>
                <w:rFonts w:ascii="Arial" w:eastAsia="Times New Roman" w:hAnsi="Arial" w:cs="Arial"/>
                <w:color w:val="444444"/>
                <w:sz w:val="17"/>
                <w:szCs w:val="17"/>
                <w:lang w:eastAsia="fr-FR"/>
              </w:rPr>
            </w:pPr>
            <w:r w:rsidRPr="002F3DDE">
              <w:rPr>
                <w:rFonts w:ascii="Arial" w:eastAsia="Times New Roman" w:hAnsi="Arial" w:cs="Arial"/>
                <w:color w:val="444444"/>
                <w:sz w:val="17"/>
                <w:szCs w:val="17"/>
                <w:lang w:eastAsia="fr-FR"/>
              </w:rPr>
              <w:t>de</w:t>
            </w:r>
          </w:p>
        </w:tc>
        <w:tc>
          <w:tcPr>
            <w:tcW w:w="0" w:type="auto"/>
            <w:shd w:val="clear" w:color="auto" w:fill="FFFFFF"/>
            <w:tcMar>
              <w:top w:w="0" w:type="dxa"/>
              <w:left w:w="150" w:type="dxa"/>
              <w:bottom w:w="0" w:type="dxa"/>
              <w:right w:w="150" w:type="dxa"/>
            </w:tcMar>
            <w:vAlign w:val="center"/>
            <w:hideMark/>
          </w:tcPr>
          <w:p w14:paraId="3C51FB7A" w14:textId="77777777" w:rsidR="002F3DDE" w:rsidRPr="002F3DDE" w:rsidRDefault="000A37D1" w:rsidP="002F3DDE">
            <w:pPr>
              <w:spacing w:after="0" w:line="330" w:lineRule="atLeast"/>
              <w:rPr>
                <w:rFonts w:ascii="Arial" w:eastAsia="Times New Roman" w:hAnsi="Arial" w:cs="Arial"/>
                <w:color w:val="FF6600"/>
                <w:sz w:val="17"/>
                <w:szCs w:val="17"/>
                <w:lang w:val="en-US" w:eastAsia="fr-FR"/>
              </w:rPr>
            </w:pPr>
            <w:hyperlink r:id="rId5" w:history="1">
              <w:r w:rsidR="002F3DDE" w:rsidRPr="002F3DDE">
                <w:rPr>
                  <w:rFonts w:ascii="Arial" w:eastAsia="Times New Roman" w:hAnsi="Arial" w:cs="Arial"/>
                  <w:color w:val="FF6600"/>
                  <w:sz w:val="17"/>
                  <w:szCs w:val="17"/>
                  <w:bdr w:val="none" w:sz="0" w:space="0" w:color="auto" w:frame="1"/>
                  <w:lang w:val="en-US" w:eastAsia="fr-FR"/>
                </w:rPr>
                <w:t xml:space="preserve"> </w:t>
              </w:r>
              <w:r w:rsidR="00A86E2D">
                <w:rPr>
                  <w:rFonts w:ascii="Arial" w:eastAsia="Times New Roman" w:hAnsi="Arial" w:cs="Arial"/>
                  <w:color w:val="FF6600"/>
                  <w:sz w:val="17"/>
                  <w:szCs w:val="17"/>
                  <w:bdr w:val="none" w:sz="0" w:space="0" w:color="auto" w:frame="1"/>
                  <w:lang w:val="en-US" w:eastAsia="fr-FR"/>
                </w:rPr>
                <w:t>….</w:t>
              </w:r>
              <w:r w:rsidR="002F3DDE" w:rsidRPr="002F3DDE">
                <w:rPr>
                  <w:rFonts w:ascii="Arial" w:eastAsia="Times New Roman" w:hAnsi="Arial" w:cs="Arial"/>
                  <w:color w:val="FF6600"/>
                  <w:sz w:val="17"/>
                  <w:szCs w:val="17"/>
                  <w:bdr w:val="none" w:sz="0" w:space="0" w:color="auto" w:frame="1"/>
                  <w:lang w:val="en-US" w:eastAsia="fr-FR"/>
                </w:rPr>
                <w:t xml:space="preserve">DRIEE IF/UD78/RUM" </w:t>
              </w:r>
            </w:hyperlink>
          </w:p>
        </w:tc>
        <w:tc>
          <w:tcPr>
            <w:tcW w:w="1480" w:type="dxa"/>
            <w:vMerge w:val="restart"/>
            <w:shd w:val="clear" w:color="auto" w:fill="FFFFFF"/>
            <w:tcMar>
              <w:top w:w="150" w:type="dxa"/>
              <w:left w:w="150" w:type="dxa"/>
              <w:bottom w:w="150" w:type="dxa"/>
              <w:right w:w="150" w:type="dxa"/>
            </w:tcMar>
            <w:vAlign w:val="center"/>
          </w:tcPr>
          <w:p w14:paraId="30294745" w14:textId="77777777" w:rsidR="002F3DDE" w:rsidRPr="002F3DDE" w:rsidRDefault="002F3DDE" w:rsidP="002F3DDE">
            <w:pPr>
              <w:spacing w:after="0" w:line="330" w:lineRule="atLeast"/>
              <w:rPr>
                <w:rFonts w:ascii="Arial" w:eastAsia="Times New Roman" w:hAnsi="Arial" w:cs="Arial"/>
                <w:color w:val="FF6600"/>
                <w:sz w:val="17"/>
                <w:szCs w:val="17"/>
                <w:lang w:val="en-US" w:eastAsia="fr-FR"/>
              </w:rPr>
            </w:pPr>
          </w:p>
        </w:tc>
      </w:tr>
      <w:tr w:rsidR="002F3DDE" w:rsidRPr="002F3DDE" w14:paraId="0959B451" w14:textId="77777777" w:rsidTr="002F3DDE">
        <w:trPr>
          <w:trHeight w:val="335"/>
        </w:trPr>
        <w:tc>
          <w:tcPr>
            <w:tcW w:w="974" w:type="dxa"/>
            <w:shd w:val="clear" w:color="auto" w:fill="FFFFFF"/>
            <w:tcMar>
              <w:top w:w="0" w:type="dxa"/>
              <w:left w:w="150" w:type="dxa"/>
              <w:bottom w:w="0" w:type="dxa"/>
              <w:right w:w="150" w:type="dxa"/>
            </w:tcMar>
            <w:vAlign w:val="center"/>
            <w:hideMark/>
          </w:tcPr>
          <w:p w14:paraId="2578F180" w14:textId="77777777" w:rsidR="002F3DDE" w:rsidRPr="002F3DDE" w:rsidRDefault="002F3DDE" w:rsidP="002F3DDE">
            <w:pPr>
              <w:spacing w:after="0" w:line="330" w:lineRule="atLeast"/>
              <w:jc w:val="right"/>
              <w:rPr>
                <w:rFonts w:ascii="Arial" w:eastAsia="Times New Roman" w:hAnsi="Arial" w:cs="Arial"/>
                <w:color w:val="444444"/>
                <w:sz w:val="17"/>
                <w:szCs w:val="17"/>
                <w:lang w:eastAsia="fr-FR"/>
              </w:rPr>
            </w:pPr>
            <w:r w:rsidRPr="002F3DDE">
              <w:rPr>
                <w:rFonts w:ascii="Arial" w:eastAsia="Times New Roman" w:hAnsi="Arial" w:cs="Arial"/>
                <w:color w:val="444444"/>
                <w:sz w:val="17"/>
                <w:szCs w:val="17"/>
                <w:lang w:eastAsia="fr-FR"/>
              </w:rPr>
              <w:t>à</w:t>
            </w:r>
          </w:p>
        </w:tc>
        <w:tc>
          <w:tcPr>
            <w:tcW w:w="0" w:type="auto"/>
            <w:shd w:val="clear" w:color="auto" w:fill="FFFFFF"/>
            <w:tcMar>
              <w:top w:w="0" w:type="dxa"/>
              <w:left w:w="150" w:type="dxa"/>
              <w:bottom w:w="0" w:type="dxa"/>
              <w:right w:w="150" w:type="dxa"/>
            </w:tcMar>
            <w:vAlign w:val="center"/>
            <w:hideMark/>
          </w:tcPr>
          <w:p w14:paraId="2BD57EA3" w14:textId="77777777" w:rsidR="002F3DDE" w:rsidRPr="002F3DDE" w:rsidRDefault="000A37D1" w:rsidP="002F3DDE">
            <w:pPr>
              <w:spacing w:after="0" w:line="180" w:lineRule="atLeast"/>
              <w:rPr>
                <w:rFonts w:ascii="Arial" w:eastAsia="Times New Roman" w:hAnsi="Arial" w:cs="Arial"/>
                <w:color w:val="444444"/>
                <w:sz w:val="17"/>
                <w:szCs w:val="17"/>
                <w:lang w:eastAsia="fr-FR"/>
              </w:rPr>
            </w:pPr>
            <w:hyperlink r:id="rId6" w:history="1">
              <w:r w:rsidR="002F3DDE" w:rsidRPr="002F3DDE">
                <w:rPr>
                  <w:rFonts w:ascii="Arial" w:eastAsia="Times New Roman" w:hAnsi="Arial" w:cs="Arial"/>
                  <w:color w:val="444444"/>
                  <w:sz w:val="17"/>
                  <w:szCs w:val="17"/>
                  <w:bdr w:val="none" w:sz="0" w:space="0" w:color="auto" w:frame="1"/>
                  <w:lang w:eastAsia="fr-FR"/>
                </w:rPr>
                <w:t>"Michel RIOU"</w:t>
              </w:r>
            </w:hyperlink>
          </w:p>
        </w:tc>
        <w:tc>
          <w:tcPr>
            <w:tcW w:w="0" w:type="auto"/>
            <w:vMerge/>
            <w:shd w:val="clear" w:color="auto" w:fill="F6F6F6"/>
            <w:vAlign w:val="center"/>
          </w:tcPr>
          <w:p w14:paraId="38680377" w14:textId="77777777" w:rsidR="002F3DDE" w:rsidRPr="002F3DDE" w:rsidRDefault="002F3DDE" w:rsidP="002F3DDE">
            <w:pPr>
              <w:spacing w:after="0"/>
              <w:rPr>
                <w:rFonts w:ascii="Arial" w:eastAsia="Times New Roman" w:hAnsi="Arial" w:cs="Arial"/>
                <w:color w:val="FF6600"/>
                <w:sz w:val="17"/>
                <w:szCs w:val="17"/>
                <w:lang w:eastAsia="fr-FR"/>
              </w:rPr>
            </w:pPr>
          </w:p>
        </w:tc>
      </w:tr>
      <w:tr w:rsidR="002F3DDE" w:rsidRPr="002F3DDE" w14:paraId="39A8DF04" w14:textId="77777777" w:rsidTr="002F3DDE">
        <w:trPr>
          <w:trHeight w:val="335"/>
        </w:trPr>
        <w:tc>
          <w:tcPr>
            <w:tcW w:w="974" w:type="dxa"/>
            <w:shd w:val="clear" w:color="auto" w:fill="FFFFFF"/>
            <w:tcMar>
              <w:top w:w="0" w:type="dxa"/>
              <w:left w:w="150" w:type="dxa"/>
              <w:bottom w:w="0" w:type="dxa"/>
              <w:right w:w="150" w:type="dxa"/>
            </w:tcMar>
            <w:vAlign w:val="center"/>
            <w:hideMark/>
          </w:tcPr>
          <w:p w14:paraId="516730DC" w14:textId="77777777" w:rsidR="002F3DDE" w:rsidRPr="002F3DDE" w:rsidRDefault="002F3DDE" w:rsidP="002F3DDE">
            <w:pPr>
              <w:spacing w:after="0" w:line="330" w:lineRule="atLeast"/>
              <w:jc w:val="right"/>
              <w:rPr>
                <w:rFonts w:ascii="Arial" w:eastAsia="Times New Roman" w:hAnsi="Arial" w:cs="Arial"/>
                <w:color w:val="444444"/>
                <w:sz w:val="17"/>
                <w:szCs w:val="17"/>
                <w:lang w:eastAsia="fr-FR"/>
              </w:rPr>
            </w:pPr>
            <w:r w:rsidRPr="002F3DDE">
              <w:rPr>
                <w:rFonts w:ascii="Arial" w:eastAsia="Times New Roman" w:hAnsi="Arial" w:cs="Arial"/>
                <w:color w:val="444444"/>
                <w:sz w:val="17"/>
                <w:szCs w:val="17"/>
                <w:lang w:eastAsia="fr-FR"/>
              </w:rPr>
              <w:t>date</w:t>
            </w:r>
          </w:p>
        </w:tc>
        <w:tc>
          <w:tcPr>
            <w:tcW w:w="0" w:type="auto"/>
            <w:shd w:val="clear" w:color="auto" w:fill="FFFFFF"/>
            <w:tcMar>
              <w:top w:w="0" w:type="dxa"/>
              <w:left w:w="150" w:type="dxa"/>
              <w:bottom w:w="0" w:type="dxa"/>
              <w:right w:w="150" w:type="dxa"/>
            </w:tcMar>
            <w:vAlign w:val="center"/>
            <w:hideMark/>
          </w:tcPr>
          <w:p w14:paraId="7ECA52EA" w14:textId="77777777" w:rsidR="002F3DDE" w:rsidRPr="002F3DDE" w:rsidRDefault="002F3DDE" w:rsidP="002F3DDE">
            <w:pPr>
              <w:spacing w:after="0" w:line="330" w:lineRule="atLeast"/>
              <w:rPr>
                <w:rFonts w:ascii="Arial" w:eastAsia="Times New Roman" w:hAnsi="Arial" w:cs="Arial"/>
                <w:color w:val="444444"/>
                <w:sz w:val="17"/>
                <w:szCs w:val="17"/>
                <w:lang w:eastAsia="fr-FR"/>
              </w:rPr>
            </w:pPr>
            <w:r w:rsidRPr="002F3DDE">
              <w:rPr>
                <w:rFonts w:ascii="Arial" w:eastAsia="Times New Roman" w:hAnsi="Arial" w:cs="Arial"/>
                <w:color w:val="444444"/>
                <w:sz w:val="17"/>
                <w:szCs w:val="17"/>
                <w:lang w:eastAsia="fr-FR"/>
              </w:rPr>
              <w:t>06/11/20 11:50</w:t>
            </w:r>
          </w:p>
        </w:tc>
        <w:tc>
          <w:tcPr>
            <w:tcW w:w="0" w:type="auto"/>
            <w:vMerge/>
            <w:shd w:val="clear" w:color="auto" w:fill="F6F6F6"/>
            <w:vAlign w:val="center"/>
          </w:tcPr>
          <w:p w14:paraId="32DBE9E6" w14:textId="77777777" w:rsidR="002F3DDE" w:rsidRPr="002F3DDE" w:rsidRDefault="002F3DDE" w:rsidP="002F3DDE">
            <w:pPr>
              <w:spacing w:after="0"/>
              <w:rPr>
                <w:rFonts w:ascii="Arial" w:eastAsia="Times New Roman" w:hAnsi="Arial" w:cs="Arial"/>
                <w:color w:val="FF6600"/>
                <w:sz w:val="17"/>
                <w:szCs w:val="17"/>
                <w:lang w:eastAsia="fr-FR"/>
              </w:rPr>
            </w:pPr>
          </w:p>
        </w:tc>
      </w:tr>
      <w:tr w:rsidR="002F3DDE" w:rsidRPr="002F3DDE" w14:paraId="4336344F" w14:textId="77777777" w:rsidTr="002F3DDE">
        <w:trPr>
          <w:trHeight w:val="335"/>
        </w:trPr>
        <w:tc>
          <w:tcPr>
            <w:tcW w:w="974" w:type="dxa"/>
            <w:shd w:val="clear" w:color="auto" w:fill="FFFFFF"/>
            <w:tcMar>
              <w:top w:w="0" w:type="dxa"/>
              <w:left w:w="150" w:type="dxa"/>
              <w:bottom w:w="0" w:type="dxa"/>
              <w:right w:w="150" w:type="dxa"/>
            </w:tcMar>
            <w:vAlign w:val="center"/>
            <w:hideMark/>
          </w:tcPr>
          <w:p w14:paraId="1E807AB7" w14:textId="77777777" w:rsidR="002F3DDE" w:rsidRPr="002F3DDE" w:rsidRDefault="002F3DDE" w:rsidP="002F3DDE">
            <w:pPr>
              <w:spacing w:after="0" w:line="225" w:lineRule="atLeast"/>
              <w:jc w:val="right"/>
              <w:rPr>
                <w:rFonts w:ascii="Arial" w:eastAsia="Times New Roman" w:hAnsi="Arial" w:cs="Arial"/>
                <w:b/>
                <w:bCs/>
                <w:color w:val="444444"/>
                <w:sz w:val="17"/>
                <w:szCs w:val="17"/>
                <w:lang w:eastAsia="fr-FR"/>
              </w:rPr>
            </w:pPr>
            <w:r w:rsidRPr="002F3DDE">
              <w:rPr>
                <w:rFonts w:ascii="Arial" w:eastAsia="Times New Roman" w:hAnsi="Arial" w:cs="Arial"/>
                <w:b/>
                <w:bCs/>
                <w:color w:val="444444"/>
                <w:sz w:val="17"/>
                <w:szCs w:val="17"/>
                <w:lang w:eastAsia="fr-FR"/>
              </w:rPr>
              <w:t>objet</w:t>
            </w:r>
          </w:p>
        </w:tc>
        <w:tc>
          <w:tcPr>
            <w:tcW w:w="0" w:type="auto"/>
            <w:gridSpan w:val="2"/>
            <w:shd w:val="clear" w:color="auto" w:fill="FFFFFF"/>
            <w:tcMar>
              <w:top w:w="0" w:type="dxa"/>
              <w:left w:w="150" w:type="dxa"/>
              <w:bottom w:w="0" w:type="dxa"/>
              <w:right w:w="150" w:type="dxa"/>
            </w:tcMar>
            <w:vAlign w:val="center"/>
            <w:hideMark/>
          </w:tcPr>
          <w:p w14:paraId="41F0854A" w14:textId="77777777" w:rsidR="002F3DDE" w:rsidRPr="002F3DDE" w:rsidRDefault="002F3DDE" w:rsidP="002F3DDE">
            <w:pPr>
              <w:spacing w:after="0" w:line="225" w:lineRule="atLeast"/>
              <w:rPr>
                <w:rFonts w:ascii="Arial" w:eastAsia="Times New Roman" w:hAnsi="Arial" w:cs="Arial"/>
                <w:b/>
                <w:bCs/>
                <w:color w:val="444444"/>
                <w:sz w:val="17"/>
                <w:szCs w:val="17"/>
                <w:lang w:eastAsia="fr-FR"/>
              </w:rPr>
            </w:pPr>
            <w:r w:rsidRPr="002F3DDE">
              <w:rPr>
                <w:rFonts w:ascii="Arial" w:eastAsia="Times New Roman" w:hAnsi="Arial" w:cs="Arial"/>
                <w:b/>
                <w:bCs/>
                <w:color w:val="444444"/>
                <w:sz w:val="17"/>
                <w:szCs w:val="17"/>
                <w:lang w:eastAsia="fr-FR"/>
              </w:rPr>
              <w:t>Re: Enquête publique Triel aire de gd passage</w:t>
            </w:r>
          </w:p>
        </w:tc>
      </w:tr>
    </w:tbl>
    <w:p w14:paraId="11819F08" w14:textId="77777777" w:rsidR="002F3DDE" w:rsidRPr="002F3DDE" w:rsidRDefault="002F3DDE" w:rsidP="002F3DDE">
      <w:pPr>
        <w:spacing w:after="0"/>
        <w:rPr>
          <w:rFonts w:eastAsia="Times New Roman" w:cs="Times New Roman"/>
          <w:vanish/>
          <w:szCs w:val="24"/>
          <w:lang w:eastAsia="fr-FR"/>
        </w:rPr>
      </w:pPr>
    </w:p>
    <w:p w14:paraId="34BEB1B3" w14:textId="77777777" w:rsidR="002F3DDE" w:rsidRDefault="002F3DDE" w:rsidP="002F3DDE">
      <w:pPr>
        <w:shd w:val="clear" w:color="auto" w:fill="FFFFFF"/>
        <w:spacing w:after="0" w:line="312" w:lineRule="atLeast"/>
        <w:rPr>
          <w:rFonts w:ascii="Arial" w:eastAsia="Times New Roman" w:hAnsi="Arial" w:cs="Arial"/>
          <w:color w:val="444444"/>
          <w:sz w:val="18"/>
          <w:szCs w:val="18"/>
          <w:lang w:eastAsia="fr-FR"/>
        </w:rPr>
      </w:pPr>
    </w:p>
    <w:p w14:paraId="12B3F7EC" w14:textId="77777777" w:rsidR="002F3DDE" w:rsidRPr="002F3DDE" w:rsidRDefault="002F3DDE" w:rsidP="002F3DDE">
      <w:pPr>
        <w:pStyle w:val="Sansinterligne"/>
        <w:rPr>
          <w:lang w:eastAsia="fr-FR"/>
        </w:rPr>
      </w:pPr>
    </w:p>
    <w:tbl>
      <w:tblPr>
        <w:tblW w:w="9725" w:type="dxa"/>
        <w:tblCellSpacing w:w="15" w:type="dxa"/>
        <w:tblCellMar>
          <w:left w:w="0" w:type="dxa"/>
          <w:right w:w="0" w:type="dxa"/>
        </w:tblCellMar>
        <w:tblLook w:val="04A0" w:firstRow="1" w:lastRow="0" w:firstColumn="1" w:lastColumn="0" w:noHBand="0" w:noVBand="1"/>
      </w:tblPr>
      <w:tblGrid>
        <w:gridCol w:w="9725"/>
      </w:tblGrid>
      <w:tr w:rsidR="002F3DDE" w:rsidRPr="002F3DDE" w14:paraId="0BA198F9" w14:textId="77777777" w:rsidTr="002F3DDE">
        <w:trPr>
          <w:tblCellSpacing w:w="15" w:type="dxa"/>
        </w:trPr>
        <w:tc>
          <w:tcPr>
            <w:tcW w:w="9665" w:type="dxa"/>
            <w:tcBorders>
              <w:top w:val="nil"/>
              <w:left w:val="nil"/>
              <w:bottom w:val="nil"/>
              <w:right w:val="nil"/>
            </w:tcBorders>
            <w:hideMark/>
          </w:tcPr>
          <w:p w14:paraId="1D3ACEAF" w14:textId="77777777" w:rsidR="002F3DDE" w:rsidRPr="002F3DDE" w:rsidRDefault="002F3DDE" w:rsidP="002F3DDE">
            <w:pPr>
              <w:spacing w:after="0"/>
              <w:jc w:val="both"/>
              <w:rPr>
                <w:rFonts w:eastAsia="Times New Roman" w:cs="Times New Roman"/>
                <w:szCs w:val="24"/>
                <w:lang w:eastAsia="fr-FR"/>
              </w:rPr>
            </w:pPr>
            <w:r w:rsidRPr="002F3DDE">
              <w:rPr>
                <w:rFonts w:ascii="Arial" w:eastAsia="Times New Roman" w:hAnsi="Arial" w:cs="Arial"/>
                <w:color w:val="000000"/>
                <w:sz w:val="20"/>
                <w:szCs w:val="20"/>
                <w:lang w:eastAsia="fr-FR"/>
              </w:rPr>
              <w:t>Monsieur,</w:t>
            </w:r>
          </w:p>
          <w:p w14:paraId="7417E105" w14:textId="77777777" w:rsidR="002F3DDE" w:rsidRPr="002F3DDE" w:rsidRDefault="002F3DDE" w:rsidP="002F3DDE">
            <w:pPr>
              <w:spacing w:after="0" w:line="312" w:lineRule="atLeast"/>
              <w:jc w:val="both"/>
              <w:rPr>
                <w:rFonts w:eastAsia="Times New Roman" w:cs="Times New Roman"/>
                <w:szCs w:val="24"/>
                <w:lang w:eastAsia="fr-FR"/>
              </w:rPr>
            </w:pPr>
            <w:r w:rsidRPr="002F3DDE">
              <w:rPr>
                <w:rFonts w:ascii="Arial" w:eastAsia="Times New Roman" w:hAnsi="Arial" w:cs="Arial"/>
                <w:color w:val="000000"/>
                <w:sz w:val="20"/>
                <w:szCs w:val="20"/>
                <w:lang w:eastAsia="fr-FR"/>
              </w:rPr>
              <w:t>Dans le cadre de l’enquête publique de Triel aire de grand passage, vous nous avez interrogé le 22 octobre dernier sur les potentielles nuisances olfactives du SIAAP Grésillons.</w:t>
            </w:r>
          </w:p>
          <w:p w14:paraId="532067AA" w14:textId="77777777" w:rsidR="002F3DDE" w:rsidRPr="002F3DDE" w:rsidRDefault="002F3DDE" w:rsidP="002F3DDE">
            <w:pPr>
              <w:spacing w:after="0" w:line="312" w:lineRule="atLeast"/>
              <w:jc w:val="both"/>
              <w:rPr>
                <w:rFonts w:eastAsia="Times New Roman" w:cs="Times New Roman"/>
                <w:szCs w:val="24"/>
                <w:lang w:eastAsia="fr-FR"/>
              </w:rPr>
            </w:pPr>
            <w:r w:rsidRPr="002F3DDE">
              <w:rPr>
                <w:rFonts w:ascii="Arial" w:eastAsia="Times New Roman" w:hAnsi="Arial" w:cs="Arial"/>
                <w:color w:val="000000"/>
                <w:sz w:val="20"/>
                <w:szCs w:val="20"/>
                <w:lang w:eastAsia="fr-FR"/>
              </w:rPr>
              <w:t>Veuillez trouver ci-dessous les éléments relatifs à cette thématique.</w:t>
            </w:r>
          </w:p>
          <w:p w14:paraId="1D35BF80" w14:textId="77777777" w:rsidR="002F3DDE" w:rsidRPr="002F3DDE" w:rsidRDefault="002F3DDE" w:rsidP="002F3DDE">
            <w:pPr>
              <w:spacing w:after="0" w:line="312" w:lineRule="atLeast"/>
              <w:ind w:right="309"/>
              <w:jc w:val="both"/>
              <w:rPr>
                <w:rFonts w:eastAsia="Times New Roman" w:cs="Times New Roman"/>
                <w:szCs w:val="24"/>
                <w:lang w:eastAsia="fr-FR"/>
              </w:rPr>
            </w:pPr>
            <w:r w:rsidRPr="002F3DDE">
              <w:rPr>
                <w:rFonts w:ascii="Arial" w:eastAsia="Times New Roman" w:hAnsi="Arial" w:cs="Arial"/>
                <w:b/>
                <w:bCs/>
                <w:color w:val="000000"/>
                <w:sz w:val="20"/>
                <w:szCs w:val="20"/>
                <w:u w:val="single"/>
                <w:bdr w:val="none" w:sz="0" w:space="0" w:color="auto" w:frame="1"/>
                <w:lang w:eastAsia="fr-FR"/>
              </w:rPr>
              <w:t>Les ouvrages de désodorisation du SIAAP Grésillons :</w:t>
            </w:r>
          </w:p>
          <w:p w14:paraId="320043B4" w14:textId="77777777" w:rsidR="002F3DDE" w:rsidRPr="002F3DDE" w:rsidRDefault="002F3DDE" w:rsidP="002F3DDE">
            <w:pPr>
              <w:spacing w:after="0" w:line="312" w:lineRule="atLeast"/>
              <w:jc w:val="both"/>
              <w:rPr>
                <w:rFonts w:eastAsia="Times New Roman" w:cs="Times New Roman"/>
                <w:szCs w:val="24"/>
                <w:lang w:eastAsia="fr-FR"/>
              </w:rPr>
            </w:pPr>
            <w:r w:rsidRPr="002F3DDE">
              <w:rPr>
                <w:rFonts w:ascii="Arial" w:eastAsia="Times New Roman" w:hAnsi="Arial" w:cs="Arial"/>
                <w:color w:val="000000"/>
                <w:sz w:val="20"/>
                <w:szCs w:val="20"/>
                <w:lang w:eastAsia="fr-FR"/>
              </w:rPr>
              <w:t>Les ouvrages de traitement des eaux et des boues de l’usine Seine Grésillons sont entièrement couverts, ventilés et l’air vicié est désodorisé, avant d’être rejeté à l’atmosphère.</w:t>
            </w:r>
            <w:r w:rsidRPr="002F3DDE">
              <w:rPr>
                <w:rFonts w:ascii="Arial" w:eastAsia="Times New Roman" w:hAnsi="Arial" w:cs="Arial"/>
                <w:color w:val="000000"/>
                <w:sz w:val="20"/>
                <w:szCs w:val="20"/>
                <w:lang w:eastAsia="fr-FR"/>
              </w:rPr>
              <w:br/>
              <w:t>Les bâtiments sont en dépression afin que la totalité des flux d’air odorants soit préalablement traités par les ateliers de désodorisation du site.</w:t>
            </w:r>
          </w:p>
          <w:p w14:paraId="4F321EB1" w14:textId="77777777" w:rsidR="002F3DDE" w:rsidRPr="002F3DDE" w:rsidRDefault="002F3DDE" w:rsidP="002F3DDE">
            <w:pPr>
              <w:spacing w:after="0" w:line="312" w:lineRule="atLeast"/>
              <w:jc w:val="both"/>
              <w:rPr>
                <w:rFonts w:eastAsia="Times New Roman" w:cs="Times New Roman"/>
                <w:szCs w:val="24"/>
                <w:lang w:eastAsia="fr-FR"/>
              </w:rPr>
            </w:pPr>
            <w:r w:rsidRPr="002F3DDE">
              <w:rPr>
                <w:rFonts w:ascii="Arial" w:eastAsia="Times New Roman" w:hAnsi="Arial" w:cs="Arial"/>
                <w:b/>
                <w:bCs/>
                <w:color w:val="000000"/>
                <w:sz w:val="20"/>
                <w:szCs w:val="20"/>
                <w:u w:val="single"/>
                <w:bdr w:val="none" w:sz="0" w:space="0" w:color="auto" w:frame="1"/>
                <w:lang w:eastAsia="fr-FR"/>
              </w:rPr>
              <w:t>Le principe de désodorisation du SIAAP Grésillons  :</w:t>
            </w:r>
          </w:p>
          <w:p w14:paraId="50D03F05" w14:textId="77777777" w:rsidR="002F3DDE" w:rsidRPr="002F3DDE" w:rsidRDefault="002F3DDE" w:rsidP="002F3DDE">
            <w:pPr>
              <w:spacing w:after="0" w:line="312" w:lineRule="atLeast"/>
              <w:jc w:val="both"/>
              <w:rPr>
                <w:rFonts w:eastAsia="Times New Roman" w:cs="Times New Roman"/>
                <w:szCs w:val="24"/>
                <w:lang w:eastAsia="fr-FR"/>
              </w:rPr>
            </w:pPr>
            <w:r w:rsidRPr="002F3DDE">
              <w:rPr>
                <w:rFonts w:ascii="Arial" w:eastAsia="Times New Roman" w:hAnsi="Arial" w:cs="Arial"/>
                <w:color w:val="000000"/>
                <w:sz w:val="20"/>
                <w:szCs w:val="20"/>
                <w:bdr w:val="none" w:sz="0" w:space="0" w:color="auto" w:frame="1"/>
                <w:lang w:eastAsia="fr-FR"/>
              </w:rPr>
              <w:t>Le principe de la désodorisation est physico-chimique.</w:t>
            </w:r>
            <w:r w:rsidRPr="002F3DDE">
              <w:rPr>
                <w:rFonts w:ascii="Arial" w:eastAsia="Times New Roman" w:hAnsi="Arial" w:cs="Arial"/>
                <w:color w:val="000000"/>
                <w:sz w:val="20"/>
                <w:szCs w:val="20"/>
                <w:bdr w:val="none" w:sz="0" w:space="0" w:color="auto" w:frame="1"/>
                <w:lang w:eastAsia="fr-FR"/>
              </w:rPr>
              <w:br/>
            </w:r>
            <w:r w:rsidRPr="002F3DDE">
              <w:rPr>
                <w:rFonts w:ascii="Arial" w:eastAsia="Times New Roman" w:hAnsi="Arial" w:cs="Arial"/>
                <w:color w:val="000000"/>
                <w:sz w:val="20"/>
                <w:szCs w:val="20"/>
                <w:lang w:eastAsia="fr-FR"/>
              </w:rPr>
              <w:t>L’air entrant successivement dans chacune des tours de lavage physico-chimique est débarrassé de ses molécules odorantes par lavage acide puis oxydant puis alcalin et enfin réducteur.</w:t>
            </w:r>
          </w:p>
          <w:p w14:paraId="600E9109" w14:textId="77777777" w:rsidR="002F3DDE" w:rsidRPr="002F3DDE" w:rsidRDefault="002F3DDE" w:rsidP="002F3DDE">
            <w:pPr>
              <w:spacing w:after="0" w:line="312" w:lineRule="atLeast"/>
              <w:jc w:val="both"/>
              <w:rPr>
                <w:rFonts w:eastAsia="Times New Roman" w:cs="Times New Roman"/>
                <w:szCs w:val="24"/>
                <w:lang w:eastAsia="fr-FR"/>
              </w:rPr>
            </w:pPr>
            <w:r w:rsidRPr="002F3DDE">
              <w:rPr>
                <w:rFonts w:ascii="Arial" w:eastAsia="Times New Roman" w:hAnsi="Arial" w:cs="Arial"/>
                <w:b/>
                <w:bCs/>
                <w:color w:val="000000"/>
                <w:sz w:val="20"/>
                <w:szCs w:val="20"/>
                <w:u w:val="single"/>
                <w:bdr w:val="none" w:sz="0" w:space="0" w:color="auto" w:frame="1"/>
                <w:lang w:eastAsia="fr-FR"/>
              </w:rPr>
              <w:t>Les mesures et les résultats</w:t>
            </w:r>
            <w:r w:rsidRPr="002F3DDE">
              <w:rPr>
                <w:rFonts w:ascii="Arial" w:eastAsia="Times New Roman" w:hAnsi="Arial" w:cs="Arial"/>
                <w:color w:val="000000"/>
                <w:sz w:val="20"/>
                <w:szCs w:val="20"/>
                <w:lang w:eastAsia="fr-FR"/>
              </w:rPr>
              <w:t> </w:t>
            </w:r>
            <w:r w:rsidRPr="002F3DDE">
              <w:rPr>
                <w:rFonts w:ascii="Arial" w:eastAsia="Times New Roman" w:hAnsi="Arial" w:cs="Arial"/>
                <w:b/>
                <w:bCs/>
                <w:color w:val="000000"/>
                <w:sz w:val="20"/>
                <w:szCs w:val="20"/>
                <w:bdr w:val="none" w:sz="0" w:space="0" w:color="auto" w:frame="1"/>
                <w:lang w:eastAsia="fr-FR"/>
              </w:rPr>
              <w:t>:</w:t>
            </w:r>
          </w:p>
          <w:p w14:paraId="29DEE787" w14:textId="77777777" w:rsidR="002F3DDE" w:rsidRPr="002F3DDE" w:rsidRDefault="002F3DDE" w:rsidP="002F3DDE">
            <w:pPr>
              <w:spacing w:after="0" w:line="312" w:lineRule="atLeast"/>
              <w:jc w:val="both"/>
              <w:rPr>
                <w:rFonts w:eastAsia="Times New Roman" w:cs="Times New Roman"/>
                <w:szCs w:val="24"/>
                <w:lang w:eastAsia="fr-FR"/>
              </w:rPr>
            </w:pPr>
            <w:r w:rsidRPr="002F3DDE">
              <w:rPr>
                <w:rFonts w:ascii="Arial" w:eastAsia="Times New Roman" w:hAnsi="Arial" w:cs="Arial"/>
                <w:color w:val="000000"/>
                <w:sz w:val="20"/>
                <w:szCs w:val="20"/>
                <w:lang w:eastAsia="fr-FR"/>
              </w:rPr>
              <w:t>Les installations de désodorisation font l’objet d’un suivi permanent et d’un contrôle continu tout au long de l’année afin de respecter les valeurs seuil de l’arrêté préfectoral de rejet.</w:t>
            </w:r>
          </w:p>
          <w:p w14:paraId="6764F70A" w14:textId="77777777" w:rsidR="002F3DDE" w:rsidRPr="002F3DDE" w:rsidRDefault="002F3DDE" w:rsidP="002F3DDE">
            <w:pPr>
              <w:spacing w:after="0" w:line="312" w:lineRule="atLeast"/>
              <w:jc w:val="both"/>
              <w:rPr>
                <w:rFonts w:eastAsia="Times New Roman" w:cs="Times New Roman"/>
                <w:szCs w:val="24"/>
                <w:lang w:eastAsia="fr-FR"/>
              </w:rPr>
            </w:pPr>
            <w:r w:rsidRPr="002F3DDE">
              <w:rPr>
                <w:rFonts w:ascii="Arial" w:eastAsia="Times New Roman" w:hAnsi="Arial" w:cs="Arial"/>
                <w:color w:val="000000"/>
                <w:sz w:val="20"/>
                <w:szCs w:val="20"/>
                <w:lang w:eastAsia="fr-FR"/>
              </w:rPr>
              <w:t>De plus, chacune des files de traitement est vérifiée 3 fois par an par un organisme accrédité indépendant qui analyse et mesure l’efficacité des traitements réalisés.</w:t>
            </w:r>
          </w:p>
          <w:p w14:paraId="27662209" w14:textId="77777777" w:rsidR="002F3DDE" w:rsidRPr="002F3DDE" w:rsidRDefault="002F3DDE" w:rsidP="002F3DDE">
            <w:pPr>
              <w:spacing w:after="0" w:line="312" w:lineRule="atLeast"/>
              <w:jc w:val="both"/>
              <w:rPr>
                <w:rFonts w:eastAsia="Times New Roman" w:cs="Times New Roman"/>
                <w:szCs w:val="24"/>
                <w:lang w:eastAsia="fr-FR"/>
              </w:rPr>
            </w:pPr>
            <w:r w:rsidRPr="002F3DDE">
              <w:rPr>
                <w:rFonts w:ascii="Arial" w:eastAsia="Times New Roman" w:hAnsi="Arial" w:cs="Arial"/>
                <w:color w:val="000000"/>
                <w:sz w:val="20"/>
                <w:szCs w:val="20"/>
                <w:lang w:eastAsia="fr-FR"/>
              </w:rPr>
              <w:t>Les points de mesures se situent en sortie de chaque désodorisation.</w:t>
            </w:r>
          </w:p>
          <w:p w14:paraId="14348039" w14:textId="77777777" w:rsidR="002F3DDE" w:rsidRPr="002F3DDE" w:rsidRDefault="002F3DDE" w:rsidP="002F3DDE">
            <w:pPr>
              <w:spacing w:after="0" w:line="312" w:lineRule="atLeast"/>
              <w:jc w:val="both"/>
              <w:rPr>
                <w:rFonts w:eastAsia="Times New Roman" w:cs="Times New Roman"/>
                <w:szCs w:val="24"/>
                <w:lang w:eastAsia="fr-FR"/>
              </w:rPr>
            </w:pPr>
            <w:r w:rsidRPr="002F3DDE">
              <w:rPr>
                <w:rFonts w:ascii="Arial" w:eastAsia="Times New Roman" w:hAnsi="Arial" w:cs="Arial"/>
                <w:color w:val="000000"/>
                <w:sz w:val="20"/>
                <w:szCs w:val="20"/>
                <w:lang w:eastAsia="fr-FR"/>
              </w:rPr>
              <w:t>Vous trouverez ci-dessous un tableau de synthèse avec les valeurs seuils et les résultats de 2019.</w:t>
            </w:r>
          </w:p>
          <w:tbl>
            <w:tblPr>
              <w:tblW w:w="9645" w:type="dxa"/>
              <w:tblCellSpacing w:w="0" w:type="dxa"/>
              <w:tblCellMar>
                <w:left w:w="0" w:type="dxa"/>
                <w:right w:w="0" w:type="dxa"/>
              </w:tblCellMar>
              <w:tblLook w:val="04A0" w:firstRow="1" w:lastRow="0" w:firstColumn="1" w:lastColumn="0" w:noHBand="0" w:noVBand="1"/>
            </w:tblPr>
            <w:tblGrid>
              <w:gridCol w:w="1477"/>
              <w:gridCol w:w="1432"/>
              <w:gridCol w:w="1296"/>
              <w:gridCol w:w="1130"/>
              <w:gridCol w:w="1492"/>
              <w:gridCol w:w="934"/>
              <w:gridCol w:w="1884"/>
            </w:tblGrid>
            <w:tr w:rsidR="002F3DDE" w:rsidRPr="002F3DDE" w14:paraId="0E78BDCF" w14:textId="77777777" w:rsidTr="002F3DDE">
              <w:trPr>
                <w:tblCellSpacing w:w="0" w:type="dxa"/>
              </w:trPr>
              <w:tc>
                <w:tcPr>
                  <w:tcW w:w="1470" w:type="dxa"/>
                  <w:tcBorders>
                    <w:top w:val="single" w:sz="8" w:space="0" w:color="111111"/>
                    <w:left w:val="single" w:sz="8" w:space="0" w:color="111111"/>
                    <w:bottom w:val="single" w:sz="8" w:space="0" w:color="111111"/>
                    <w:right w:val="nil"/>
                  </w:tcBorders>
                  <w:hideMark/>
                </w:tcPr>
                <w:p w14:paraId="3D27D317" w14:textId="77777777" w:rsidR="002F3DDE" w:rsidRPr="002F3DDE" w:rsidRDefault="002F3DDE" w:rsidP="002F3DDE">
                  <w:pPr>
                    <w:spacing w:after="0"/>
                    <w:jc w:val="both"/>
                    <w:rPr>
                      <w:rFonts w:eastAsia="Times New Roman" w:cs="Times New Roman"/>
                      <w:szCs w:val="24"/>
                      <w:lang w:eastAsia="fr-FR"/>
                    </w:rPr>
                  </w:pPr>
                  <w:r w:rsidRPr="002F3DDE">
                    <w:rPr>
                      <w:rFonts w:eastAsia="Times New Roman" w:cs="Times New Roman"/>
                      <w:color w:val="000000"/>
                      <w:szCs w:val="24"/>
                      <w:lang w:eastAsia="fr-FR"/>
                    </w:rPr>
                    <w:t> </w:t>
                  </w:r>
                </w:p>
              </w:tc>
              <w:tc>
                <w:tcPr>
                  <w:tcW w:w="1425" w:type="dxa"/>
                  <w:tcBorders>
                    <w:top w:val="single" w:sz="8" w:space="0" w:color="111111"/>
                    <w:left w:val="single" w:sz="8" w:space="0" w:color="111111"/>
                    <w:bottom w:val="single" w:sz="8" w:space="0" w:color="111111"/>
                    <w:right w:val="nil"/>
                  </w:tcBorders>
                  <w:hideMark/>
                </w:tcPr>
                <w:p w14:paraId="3BD9DEAA" w14:textId="77777777" w:rsidR="002F3DDE" w:rsidRPr="002F3DDE" w:rsidRDefault="002F3DDE" w:rsidP="002F3DDE">
                  <w:pPr>
                    <w:spacing w:after="0"/>
                    <w:jc w:val="center"/>
                    <w:rPr>
                      <w:rFonts w:eastAsia="Times New Roman" w:cs="Times New Roman"/>
                      <w:szCs w:val="24"/>
                      <w:lang w:eastAsia="fr-FR"/>
                    </w:rPr>
                  </w:pPr>
                  <w:r w:rsidRPr="002F3DDE">
                    <w:rPr>
                      <w:rFonts w:ascii="Arial" w:eastAsia="Times New Roman" w:hAnsi="Arial" w:cs="Arial"/>
                      <w:b/>
                      <w:bCs/>
                      <w:i/>
                      <w:iCs/>
                      <w:color w:val="000000"/>
                      <w:sz w:val="18"/>
                      <w:szCs w:val="18"/>
                      <w:bdr w:val="none" w:sz="0" w:space="0" w:color="auto" w:frame="1"/>
                      <w:lang w:eastAsia="fr-FR"/>
                    </w:rPr>
                    <w:t>Concentration maximale autorisée en sortie</w:t>
                  </w:r>
                </w:p>
              </w:tc>
              <w:tc>
                <w:tcPr>
                  <w:tcW w:w="1290" w:type="dxa"/>
                  <w:tcBorders>
                    <w:top w:val="single" w:sz="8" w:space="0" w:color="111111"/>
                    <w:left w:val="single" w:sz="8" w:space="0" w:color="111111"/>
                    <w:bottom w:val="single" w:sz="8" w:space="0" w:color="111111"/>
                    <w:right w:val="nil"/>
                  </w:tcBorders>
                  <w:hideMark/>
                </w:tcPr>
                <w:p w14:paraId="303FFA46" w14:textId="77777777" w:rsidR="002F3DDE" w:rsidRPr="002F3DDE" w:rsidRDefault="002F3DDE" w:rsidP="002F3DDE">
                  <w:pPr>
                    <w:spacing w:after="0"/>
                    <w:jc w:val="center"/>
                    <w:rPr>
                      <w:rFonts w:eastAsia="Times New Roman" w:cs="Times New Roman"/>
                      <w:szCs w:val="24"/>
                      <w:lang w:eastAsia="fr-FR"/>
                    </w:rPr>
                  </w:pPr>
                  <w:r w:rsidRPr="002F3DDE">
                    <w:rPr>
                      <w:rFonts w:ascii="Arial" w:eastAsia="Times New Roman" w:hAnsi="Arial" w:cs="Arial"/>
                      <w:b/>
                      <w:bCs/>
                      <w:i/>
                      <w:iCs/>
                      <w:color w:val="000000"/>
                      <w:sz w:val="18"/>
                      <w:szCs w:val="18"/>
                      <w:bdr w:val="none" w:sz="0" w:space="0" w:color="auto" w:frame="1"/>
                      <w:lang w:eastAsia="fr-FR"/>
                    </w:rPr>
                    <w:t>Valeurs rédhibitoires</w:t>
                  </w:r>
                </w:p>
              </w:tc>
              <w:tc>
                <w:tcPr>
                  <w:tcW w:w="1125" w:type="dxa"/>
                  <w:tcBorders>
                    <w:top w:val="single" w:sz="8" w:space="0" w:color="111111"/>
                    <w:left w:val="single" w:sz="8" w:space="0" w:color="111111"/>
                    <w:bottom w:val="single" w:sz="8" w:space="0" w:color="111111"/>
                    <w:right w:val="nil"/>
                  </w:tcBorders>
                  <w:hideMark/>
                </w:tcPr>
                <w:p w14:paraId="21711318" w14:textId="77777777" w:rsidR="002F3DDE" w:rsidRPr="002F3DDE" w:rsidRDefault="002F3DDE" w:rsidP="002F3DDE">
                  <w:pPr>
                    <w:spacing w:after="0"/>
                    <w:jc w:val="center"/>
                    <w:rPr>
                      <w:rFonts w:eastAsia="Times New Roman" w:cs="Times New Roman"/>
                      <w:szCs w:val="24"/>
                      <w:lang w:eastAsia="fr-FR"/>
                    </w:rPr>
                  </w:pPr>
                  <w:r w:rsidRPr="002F3DDE">
                    <w:rPr>
                      <w:rFonts w:ascii="Arial" w:eastAsia="Times New Roman" w:hAnsi="Arial" w:cs="Arial"/>
                      <w:b/>
                      <w:bCs/>
                      <w:i/>
                      <w:iCs/>
                      <w:color w:val="000000"/>
                      <w:sz w:val="18"/>
                      <w:szCs w:val="18"/>
                      <w:bdr w:val="none" w:sz="0" w:space="0" w:color="auto" w:frame="1"/>
                      <w:lang w:eastAsia="fr-FR"/>
                    </w:rPr>
                    <w:t>Cible imposée par l’arrêté préfectoral</w:t>
                  </w:r>
                </w:p>
              </w:tc>
              <w:tc>
                <w:tcPr>
                  <w:tcW w:w="1485" w:type="dxa"/>
                  <w:tcBorders>
                    <w:top w:val="single" w:sz="8" w:space="0" w:color="111111"/>
                    <w:left w:val="single" w:sz="8" w:space="0" w:color="111111"/>
                    <w:bottom w:val="single" w:sz="8" w:space="0" w:color="111111"/>
                    <w:right w:val="nil"/>
                  </w:tcBorders>
                  <w:hideMark/>
                </w:tcPr>
                <w:p w14:paraId="09F63406" w14:textId="77777777" w:rsidR="002F3DDE" w:rsidRPr="002F3DDE" w:rsidRDefault="002F3DDE" w:rsidP="002F3DDE">
                  <w:pPr>
                    <w:spacing w:after="0"/>
                    <w:jc w:val="center"/>
                    <w:rPr>
                      <w:rFonts w:eastAsia="Times New Roman" w:cs="Times New Roman"/>
                      <w:szCs w:val="24"/>
                      <w:lang w:eastAsia="fr-FR"/>
                    </w:rPr>
                  </w:pPr>
                  <w:r w:rsidRPr="002F3DDE">
                    <w:rPr>
                      <w:rFonts w:ascii="Arial" w:eastAsia="Times New Roman" w:hAnsi="Arial" w:cs="Arial"/>
                      <w:b/>
                      <w:bCs/>
                      <w:i/>
                      <w:iCs/>
                      <w:color w:val="000000"/>
                      <w:sz w:val="18"/>
                      <w:szCs w:val="18"/>
                      <w:bdr w:val="none" w:sz="0" w:space="0" w:color="auto" w:frame="1"/>
                      <w:lang w:eastAsia="fr-FR"/>
                    </w:rPr>
                    <w:t>Mode de suivi des mesures</w:t>
                  </w:r>
                </w:p>
              </w:tc>
              <w:tc>
                <w:tcPr>
                  <w:tcW w:w="930" w:type="dxa"/>
                  <w:tcBorders>
                    <w:top w:val="single" w:sz="8" w:space="0" w:color="111111"/>
                    <w:left w:val="single" w:sz="8" w:space="0" w:color="111111"/>
                    <w:bottom w:val="single" w:sz="8" w:space="0" w:color="111111"/>
                    <w:right w:val="nil"/>
                  </w:tcBorders>
                  <w:hideMark/>
                </w:tcPr>
                <w:p w14:paraId="4536756A" w14:textId="77777777" w:rsidR="002F3DDE" w:rsidRPr="002F3DDE" w:rsidRDefault="002F3DDE" w:rsidP="002F3DDE">
                  <w:pPr>
                    <w:spacing w:after="0"/>
                    <w:jc w:val="center"/>
                    <w:rPr>
                      <w:rFonts w:eastAsia="Times New Roman" w:cs="Times New Roman"/>
                      <w:szCs w:val="24"/>
                      <w:lang w:eastAsia="fr-FR"/>
                    </w:rPr>
                  </w:pPr>
                  <w:r w:rsidRPr="002F3DDE">
                    <w:rPr>
                      <w:rFonts w:ascii="Arial" w:eastAsia="Times New Roman" w:hAnsi="Arial" w:cs="Arial"/>
                      <w:b/>
                      <w:bCs/>
                      <w:i/>
                      <w:iCs/>
                      <w:color w:val="000000"/>
                      <w:sz w:val="18"/>
                      <w:szCs w:val="18"/>
                      <w:bdr w:val="none" w:sz="0" w:space="0" w:color="auto" w:frame="1"/>
                      <w:lang w:eastAsia="fr-FR"/>
                    </w:rPr>
                    <w:t>Tenue de la cible en 2019</w:t>
                  </w:r>
                </w:p>
              </w:tc>
              <w:tc>
                <w:tcPr>
                  <w:tcW w:w="1875" w:type="dxa"/>
                  <w:tcBorders>
                    <w:top w:val="single" w:sz="8" w:space="0" w:color="111111"/>
                    <w:left w:val="single" w:sz="8" w:space="0" w:color="111111"/>
                    <w:bottom w:val="single" w:sz="8" w:space="0" w:color="111111"/>
                    <w:right w:val="single" w:sz="8" w:space="0" w:color="111111"/>
                  </w:tcBorders>
                  <w:hideMark/>
                </w:tcPr>
                <w:p w14:paraId="554335EE" w14:textId="77777777" w:rsidR="002F3DDE" w:rsidRPr="002F3DDE" w:rsidRDefault="002F3DDE" w:rsidP="002F3DDE">
                  <w:pPr>
                    <w:spacing w:after="0"/>
                    <w:jc w:val="center"/>
                    <w:rPr>
                      <w:rFonts w:eastAsia="Times New Roman" w:cs="Times New Roman"/>
                      <w:szCs w:val="24"/>
                      <w:lang w:eastAsia="fr-FR"/>
                    </w:rPr>
                  </w:pPr>
                  <w:r w:rsidRPr="002F3DDE">
                    <w:rPr>
                      <w:rFonts w:ascii="Arial" w:eastAsia="Times New Roman" w:hAnsi="Arial" w:cs="Arial"/>
                      <w:b/>
                      <w:bCs/>
                      <w:i/>
                      <w:iCs/>
                      <w:color w:val="000000"/>
                      <w:sz w:val="18"/>
                      <w:szCs w:val="18"/>
                      <w:bdr w:val="none" w:sz="0" w:space="0" w:color="auto" w:frame="1"/>
                      <w:lang w:eastAsia="fr-FR"/>
                    </w:rPr>
                    <w:t>commentaire</w:t>
                  </w:r>
                </w:p>
              </w:tc>
            </w:tr>
            <w:tr w:rsidR="002F3DDE" w:rsidRPr="002F3DDE" w14:paraId="317FE200" w14:textId="77777777" w:rsidTr="002F3DDE">
              <w:trPr>
                <w:tblCellSpacing w:w="0" w:type="dxa"/>
              </w:trPr>
              <w:tc>
                <w:tcPr>
                  <w:tcW w:w="1470" w:type="dxa"/>
                  <w:tcBorders>
                    <w:top w:val="nil"/>
                    <w:left w:val="single" w:sz="8" w:space="0" w:color="111111"/>
                    <w:bottom w:val="single" w:sz="8" w:space="0" w:color="111111"/>
                    <w:right w:val="nil"/>
                  </w:tcBorders>
                  <w:hideMark/>
                </w:tcPr>
                <w:p w14:paraId="49167994" w14:textId="77777777" w:rsidR="002F3DDE" w:rsidRPr="002F3DDE" w:rsidRDefault="002F3DDE" w:rsidP="002F3DDE">
                  <w:pPr>
                    <w:spacing w:after="0"/>
                    <w:jc w:val="both"/>
                    <w:rPr>
                      <w:rFonts w:eastAsia="Times New Roman" w:cs="Times New Roman"/>
                      <w:szCs w:val="24"/>
                      <w:lang w:eastAsia="fr-FR"/>
                    </w:rPr>
                  </w:pPr>
                  <w:r w:rsidRPr="002F3DDE">
                    <w:rPr>
                      <w:rFonts w:ascii="Arial" w:eastAsia="Times New Roman" w:hAnsi="Arial" w:cs="Arial"/>
                      <w:b/>
                      <w:bCs/>
                      <w:color w:val="000000"/>
                      <w:sz w:val="18"/>
                      <w:szCs w:val="18"/>
                      <w:bdr w:val="none" w:sz="0" w:space="0" w:color="auto" w:frame="1"/>
                      <w:lang w:eastAsia="fr-FR"/>
                    </w:rPr>
                    <w:t>Hydrogène sulfuré</w:t>
                  </w:r>
                </w:p>
              </w:tc>
              <w:tc>
                <w:tcPr>
                  <w:tcW w:w="1425" w:type="dxa"/>
                  <w:tcBorders>
                    <w:top w:val="nil"/>
                    <w:left w:val="single" w:sz="8" w:space="0" w:color="111111"/>
                    <w:bottom w:val="single" w:sz="8" w:space="0" w:color="111111"/>
                    <w:right w:val="nil"/>
                  </w:tcBorders>
                  <w:hideMark/>
                </w:tcPr>
                <w:p w14:paraId="7E42F243" w14:textId="77777777" w:rsidR="002F3DDE" w:rsidRPr="002F3DDE" w:rsidRDefault="002F3DDE" w:rsidP="002F3DDE">
                  <w:pPr>
                    <w:spacing w:after="0"/>
                    <w:jc w:val="center"/>
                    <w:rPr>
                      <w:rFonts w:eastAsia="Times New Roman" w:cs="Times New Roman"/>
                      <w:szCs w:val="24"/>
                      <w:lang w:eastAsia="fr-FR"/>
                    </w:rPr>
                  </w:pPr>
                  <w:r w:rsidRPr="002F3DDE">
                    <w:rPr>
                      <w:rFonts w:ascii="Arial" w:eastAsia="Times New Roman" w:hAnsi="Arial" w:cs="Arial"/>
                      <w:color w:val="000000"/>
                      <w:sz w:val="18"/>
                      <w:szCs w:val="18"/>
                      <w:lang w:eastAsia="fr-FR"/>
                    </w:rPr>
                    <w:t>0,05 mg H</w:t>
                  </w:r>
                  <w:r w:rsidRPr="002F3DDE">
                    <w:rPr>
                      <w:rFonts w:ascii="Arial" w:eastAsia="Times New Roman" w:hAnsi="Arial" w:cs="Arial"/>
                      <w:color w:val="000000"/>
                      <w:sz w:val="15"/>
                      <w:szCs w:val="15"/>
                      <w:bdr w:val="none" w:sz="0" w:space="0" w:color="auto" w:frame="1"/>
                      <w:vertAlign w:val="subscript"/>
                      <w:lang w:eastAsia="fr-FR"/>
                    </w:rPr>
                    <w:t>2</w:t>
                  </w:r>
                  <w:r w:rsidRPr="002F3DDE">
                    <w:rPr>
                      <w:rFonts w:ascii="Arial" w:eastAsia="Times New Roman" w:hAnsi="Arial" w:cs="Arial"/>
                      <w:color w:val="000000"/>
                      <w:sz w:val="18"/>
                      <w:szCs w:val="18"/>
                      <w:lang w:eastAsia="fr-FR"/>
                    </w:rPr>
                    <w:t>S/m</w:t>
                  </w:r>
                  <w:r w:rsidRPr="002F3DDE">
                    <w:rPr>
                      <w:rFonts w:ascii="Arial" w:eastAsia="Times New Roman" w:hAnsi="Arial" w:cs="Arial"/>
                      <w:color w:val="000000"/>
                      <w:sz w:val="15"/>
                      <w:szCs w:val="15"/>
                      <w:bdr w:val="none" w:sz="0" w:space="0" w:color="auto" w:frame="1"/>
                      <w:vertAlign w:val="superscript"/>
                      <w:lang w:eastAsia="fr-FR"/>
                    </w:rPr>
                    <w:t>3</w:t>
                  </w:r>
                </w:p>
              </w:tc>
              <w:tc>
                <w:tcPr>
                  <w:tcW w:w="1290" w:type="dxa"/>
                  <w:tcBorders>
                    <w:top w:val="nil"/>
                    <w:left w:val="single" w:sz="8" w:space="0" w:color="111111"/>
                    <w:bottom w:val="single" w:sz="8" w:space="0" w:color="111111"/>
                    <w:right w:val="nil"/>
                  </w:tcBorders>
                  <w:hideMark/>
                </w:tcPr>
                <w:p w14:paraId="6954E9D3" w14:textId="77777777" w:rsidR="002F3DDE" w:rsidRPr="002F3DDE" w:rsidRDefault="002F3DDE" w:rsidP="002F3DDE">
                  <w:pPr>
                    <w:spacing w:after="0"/>
                    <w:jc w:val="center"/>
                    <w:rPr>
                      <w:rFonts w:eastAsia="Times New Roman" w:cs="Times New Roman"/>
                      <w:szCs w:val="24"/>
                      <w:lang w:eastAsia="fr-FR"/>
                    </w:rPr>
                  </w:pPr>
                  <w:r w:rsidRPr="002F3DDE">
                    <w:rPr>
                      <w:rFonts w:ascii="Arial" w:eastAsia="Times New Roman" w:hAnsi="Arial" w:cs="Arial"/>
                      <w:color w:val="000000"/>
                      <w:sz w:val="18"/>
                      <w:szCs w:val="18"/>
                      <w:lang w:eastAsia="fr-FR"/>
                    </w:rPr>
                    <w:t>0,1 mg H</w:t>
                  </w:r>
                  <w:r w:rsidRPr="002F3DDE">
                    <w:rPr>
                      <w:rFonts w:ascii="Arial" w:eastAsia="Times New Roman" w:hAnsi="Arial" w:cs="Arial"/>
                      <w:color w:val="000000"/>
                      <w:sz w:val="15"/>
                      <w:szCs w:val="15"/>
                      <w:bdr w:val="none" w:sz="0" w:space="0" w:color="auto" w:frame="1"/>
                      <w:vertAlign w:val="subscript"/>
                      <w:lang w:eastAsia="fr-FR"/>
                    </w:rPr>
                    <w:t>2</w:t>
                  </w:r>
                  <w:r w:rsidRPr="002F3DDE">
                    <w:rPr>
                      <w:rFonts w:ascii="Arial" w:eastAsia="Times New Roman" w:hAnsi="Arial" w:cs="Arial"/>
                      <w:color w:val="000000"/>
                      <w:sz w:val="18"/>
                      <w:szCs w:val="18"/>
                      <w:lang w:eastAsia="fr-FR"/>
                    </w:rPr>
                    <w:t>S/m</w:t>
                  </w:r>
                  <w:r w:rsidRPr="002F3DDE">
                    <w:rPr>
                      <w:rFonts w:ascii="Arial" w:eastAsia="Times New Roman" w:hAnsi="Arial" w:cs="Arial"/>
                      <w:color w:val="000000"/>
                      <w:sz w:val="15"/>
                      <w:szCs w:val="15"/>
                      <w:bdr w:val="none" w:sz="0" w:space="0" w:color="auto" w:frame="1"/>
                      <w:vertAlign w:val="superscript"/>
                      <w:lang w:eastAsia="fr-FR"/>
                    </w:rPr>
                    <w:t>3</w:t>
                  </w:r>
                </w:p>
              </w:tc>
              <w:tc>
                <w:tcPr>
                  <w:tcW w:w="1125" w:type="dxa"/>
                  <w:tcBorders>
                    <w:top w:val="nil"/>
                    <w:left w:val="single" w:sz="8" w:space="0" w:color="111111"/>
                    <w:bottom w:val="single" w:sz="8" w:space="0" w:color="111111"/>
                    <w:right w:val="nil"/>
                  </w:tcBorders>
                  <w:hideMark/>
                </w:tcPr>
                <w:p w14:paraId="799B3CA9" w14:textId="77777777" w:rsidR="002F3DDE" w:rsidRPr="002F3DDE" w:rsidRDefault="002F3DDE" w:rsidP="002F3DDE">
                  <w:pPr>
                    <w:spacing w:after="0"/>
                    <w:jc w:val="center"/>
                    <w:rPr>
                      <w:rFonts w:eastAsia="Times New Roman" w:cs="Times New Roman"/>
                      <w:szCs w:val="24"/>
                      <w:lang w:eastAsia="fr-FR"/>
                    </w:rPr>
                  </w:pPr>
                  <w:r w:rsidRPr="002F3DDE">
                    <w:rPr>
                      <w:rFonts w:ascii="Arial" w:eastAsia="Times New Roman" w:hAnsi="Arial" w:cs="Arial"/>
                      <w:color w:val="000000"/>
                      <w:sz w:val="18"/>
                      <w:szCs w:val="18"/>
                      <w:lang w:eastAsia="fr-FR"/>
                    </w:rPr>
                    <w:t>95% du temps</w:t>
                  </w:r>
                </w:p>
              </w:tc>
              <w:tc>
                <w:tcPr>
                  <w:tcW w:w="1485" w:type="dxa"/>
                  <w:tcBorders>
                    <w:top w:val="nil"/>
                    <w:left w:val="single" w:sz="8" w:space="0" w:color="111111"/>
                    <w:bottom w:val="single" w:sz="8" w:space="0" w:color="111111"/>
                    <w:right w:val="nil"/>
                  </w:tcBorders>
                  <w:hideMark/>
                </w:tcPr>
                <w:p w14:paraId="537306A5" w14:textId="77777777" w:rsidR="002F3DDE" w:rsidRPr="002F3DDE" w:rsidRDefault="002F3DDE" w:rsidP="002F3DDE">
                  <w:pPr>
                    <w:spacing w:after="0"/>
                    <w:jc w:val="center"/>
                    <w:rPr>
                      <w:rFonts w:eastAsia="Times New Roman" w:cs="Times New Roman"/>
                      <w:szCs w:val="24"/>
                      <w:lang w:eastAsia="fr-FR"/>
                    </w:rPr>
                  </w:pPr>
                  <w:r w:rsidRPr="002F3DDE">
                    <w:rPr>
                      <w:rFonts w:ascii="Arial" w:eastAsia="Times New Roman" w:hAnsi="Arial" w:cs="Arial"/>
                      <w:color w:val="000000"/>
                      <w:sz w:val="18"/>
                      <w:szCs w:val="18"/>
                      <w:lang w:eastAsia="fr-FR"/>
                    </w:rPr>
                    <w:t>Analyse en continu</w:t>
                  </w:r>
                </w:p>
              </w:tc>
              <w:tc>
                <w:tcPr>
                  <w:tcW w:w="930" w:type="dxa"/>
                  <w:tcBorders>
                    <w:top w:val="nil"/>
                    <w:left w:val="single" w:sz="8" w:space="0" w:color="111111"/>
                    <w:bottom w:val="single" w:sz="8" w:space="0" w:color="111111"/>
                    <w:right w:val="nil"/>
                  </w:tcBorders>
                  <w:hideMark/>
                </w:tcPr>
                <w:p w14:paraId="7ED2CD77" w14:textId="77777777" w:rsidR="002F3DDE" w:rsidRPr="002F3DDE" w:rsidRDefault="002F3DDE" w:rsidP="002F3DDE">
                  <w:pPr>
                    <w:spacing w:after="0"/>
                    <w:jc w:val="center"/>
                    <w:rPr>
                      <w:rFonts w:eastAsia="Times New Roman" w:cs="Times New Roman"/>
                      <w:szCs w:val="24"/>
                      <w:lang w:eastAsia="fr-FR"/>
                    </w:rPr>
                  </w:pPr>
                  <w:r w:rsidRPr="002F3DDE">
                    <w:rPr>
                      <w:rFonts w:ascii="Arial" w:eastAsia="Times New Roman" w:hAnsi="Arial" w:cs="Arial"/>
                      <w:b/>
                      <w:bCs/>
                      <w:color w:val="000000"/>
                      <w:sz w:val="18"/>
                      <w:szCs w:val="18"/>
                      <w:bdr w:val="none" w:sz="0" w:space="0" w:color="auto" w:frame="1"/>
                      <w:lang w:eastAsia="fr-FR"/>
                    </w:rPr>
                    <w:t>90,7%</w:t>
                  </w:r>
                </w:p>
              </w:tc>
              <w:tc>
                <w:tcPr>
                  <w:tcW w:w="1875" w:type="dxa"/>
                  <w:tcBorders>
                    <w:top w:val="nil"/>
                    <w:left w:val="single" w:sz="8" w:space="0" w:color="111111"/>
                    <w:bottom w:val="single" w:sz="8" w:space="0" w:color="111111"/>
                    <w:right w:val="single" w:sz="8" w:space="0" w:color="111111"/>
                  </w:tcBorders>
                  <w:hideMark/>
                </w:tcPr>
                <w:p w14:paraId="78215326" w14:textId="77777777" w:rsidR="002F3DDE" w:rsidRPr="002F3DDE" w:rsidRDefault="002F3DDE" w:rsidP="002F3DDE">
                  <w:pPr>
                    <w:spacing w:after="0"/>
                    <w:jc w:val="center"/>
                    <w:rPr>
                      <w:rFonts w:eastAsia="Times New Roman" w:cs="Times New Roman"/>
                      <w:szCs w:val="24"/>
                      <w:lang w:eastAsia="fr-FR"/>
                    </w:rPr>
                  </w:pPr>
                  <w:r w:rsidRPr="002F3DDE">
                    <w:rPr>
                      <w:rFonts w:ascii="Arial" w:eastAsia="Times New Roman" w:hAnsi="Arial" w:cs="Arial"/>
                      <w:color w:val="000000"/>
                      <w:sz w:val="18"/>
                      <w:szCs w:val="18"/>
                      <w:lang w:eastAsia="fr-FR"/>
                    </w:rPr>
                    <w:t>Absence de traitement acide*</w:t>
                  </w:r>
                </w:p>
              </w:tc>
            </w:tr>
            <w:tr w:rsidR="002F3DDE" w:rsidRPr="002F3DDE" w14:paraId="54D95358" w14:textId="77777777" w:rsidTr="002F3DDE">
              <w:trPr>
                <w:tblCellSpacing w:w="0" w:type="dxa"/>
              </w:trPr>
              <w:tc>
                <w:tcPr>
                  <w:tcW w:w="1470" w:type="dxa"/>
                  <w:tcBorders>
                    <w:top w:val="nil"/>
                    <w:left w:val="single" w:sz="8" w:space="0" w:color="111111"/>
                    <w:bottom w:val="single" w:sz="8" w:space="0" w:color="111111"/>
                    <w:right w:val="nil"/>
                  </w:tcBorders>
                  <w:hideMark/>
                </w:tcPr>
                <w:p w14:paraId="120DE3F5" w14:textId="77777777" w:rsidR="002F3DDE" w:rsidRPr="002F3DDE" w:rsidRDefault="002F3DDE" w:rsidP="002F3DDE">
                  <w:pPr>
                    <w:spacing w:after="0"/>
                    <w:jc w:val="both"/>
                    <w:rPr>
                      <w:rFonts w:eastAsia="Times New Roman" w:cs="Times New Roman"/>
                      <w:szCs w:val="24"/>
                      <w:lang w:eastAsia="fr-FR"/>
                    </w:rPr>
                  </w:pPr>
                  <w:r w:rsidRPr="002F3DDE">
                    <w:rPr>
                      <w:rFonts w:ascii="Arial" w:eastAsia="Times New Roman" w:hAnsi="Arial" w:cs="Arial"/>
                      <w:b/>
                      <w:bCs/>
                      <w:color w:val="000000"/>
                      <w:sz w:val="18"/>
                      <w:szCs w:val="18"/>
                      <w:bdr w:val="none" w:sz="0" w:space="0" w:color="auto" w:frame="1"/>
                      <w:lang w:eastAsia="fr-FR"/>
                    </w:rPr>
                    <w:t>R-SH (mercaptans)</w:t>
                  </w:r>
                </w:p>
              </w:tc>
              <w:tc>
                <w:tcPr>
                  <w:tcW w:w="1425" w:type="dxa"/>
                  <w:tcBorders>
                    <w:top w:val="nil"/>
                    <w:left w:val="single" w:sz="8" w:space="0" w:color="111111"/>
                    <w:bottom w:val="single" w:sz="8" w:space="0" w:color="111111"/>
                    <w:right w:val="nil"/>
                  </w:tcBorders>
                  <w:hideMark/>
                </w:tcPr>
                <w:p w14:paraId="39EEEC32" w14:textId="77777777" w:rsidR="002F3DDE" w:rsidRPr="002F3DDE" w:rsidRDefault="002F3DDE" w:rsidP="002F3DDE">
                  <w:pPr>
                    <w:spacing w:after="0"/>
                    <w:jc w:val="center"/>
                    <w:rPr>
                      <w:rFonts w:eastAsia="Times New Roman" w:cs="Times New Roman"/>
                      <w:szCs w:val="24"/>
                      <w:lang w:eastAsia="fr-FR"/>
                    </w:rPr>
                  </w:pPr>
                  <w:r w:rsidRPr="002F3DDE">
                    <w:rPr>
                      <w:rFonts w:ascii="Arial" w:eastAsia="Times New Roman" w:hAnsi="Arial" w:cs="Arial"/>
                      <w:color w:val="000000"/>
                      <w:sz w:val="18"/>
                      <w:szCs w:val="18"/>
                      <w:lang w:eastAsia="fr-FR"/>
                    </w:rPr>
                    <w:t>0,04 mg S/m</w:t>
                  </w:r>
                  <w:r w:rsidRPr="002F3DDE">
                    <w:rPr>
                      <w:rFonts w:ascii="Arial" w:eastAsia="Times New Roman" w:hAnsi="Arial" w:cs="Arial"/>
                      <w:color w:val="000000"/>
                      <w:sz w:val="15"/>
                      <w:szCs w:val="15"/>
                      <w:bdr w:val="none" w:sz="0" w:space="0" w:color="auto" w:frame="1"/>
                      <w:vertAlign w:val="superscript"/>
                      <w:lang w:eastAsia="fr-FR"/>
                    </w:rPr>
                    <w:t>3</w:t>
                  </w:r>
                </w:p>
              </w:tc>
              <w:tc>
                <w:tcPr>
                  <w:tcW w:w="1290" w:type="dxa"/>
                  <w:tcBorders>
                    <w:top w:val="nil"/>
                    <w:left w:val="single" w:sz="8" w:space="0" w:color="111111"/>
                    <w:bottom w:val="single" w:sz="8" w:space="0" w:color="111111"/>
                    <w:right w:val="nil"/>
                  </w:tcBorders>
                  <w:hideMark/>
                </w:tcPr>
                <w:p w14:paraId="1DE80ADD" w14:textId="77777777" w:rsidR="002F3DDE" w:rsidRPr="002F3DDE" w:rsidRDefault="002F3DDE" w:rsidP="002F3DDE">
                  <w:pPr>
                    <w:spacing w:after="0"/>
                    <w:jc w:val="center"/>
                    <w:rPr>
                      <w:rFonts w:eastAsia="Times New Roman" w:cs="Times New Roman"/>
                      <w:szCs w:val="24"/>
                      <w:lang w:eastAsia="fr-FR"/>
                    </w:rPr>
                  </w:pPr>
                  <w:r w:rsidRPr="002F3DDE">
                    <w:rPr>
                      <w:rFonts w:ascii="Arial" w:eastAsia="Times New Roman" w:hAnsi="Arial" w:cs="Arial"/>
                      <w:color w:val="000000"/>
                      <w:sz w:val="18"/>
                      <w:szCs w:val="18"/>
                      <w:lang w:eastAsia="fr-FR"/>
                    </w:rPr>
                    <w:t>0,08 mg S/m</w:t>
                  </w:r>
                  <w:r w:rsidRPr="002F3DDE">
                    <w:rPr>
                      <w:rFonts w:ascii="Arial" w:eastAsia="Times New Roman" w:hAnsi="Arial" w:cs="Arial"/>
                      <w:color w:val="000000"/>
                      <w:sz w:val="15"/>
                      <w:szCs w:val="15"/>
                      <w:bdr w:val="none" w:sz="0" w:space="0" w:color="auto" w:frame="1"/>
                      <w:vertAlign w:val="superscript"/>
                      <w:lang w:eastAsia="fr-FR"/>
                    </w:rPr>
                    <w:t>3</w:t>
                  </w:r>
                </w:p>
              </w:tc>
              <w:tc>
                <w:tcPr>
                  <w:tcW w:w="1125" w:type="dxa"/>
                  <w:tcBorders>
                    <w:top w:val="nil"/>
                    <w:left w:val="single" w:sz="8" w:space="0" w:color="111111"/>
                    <w:bottom w:val="single" w:sz="8" w:space="0" w:color="111111"/>
                    <w:right w:val="nil"/>
                  </w:tcBorders>
                  <w:hideMark/>
                </w:tcPr>
                <w:p w14:paraId="69F58BD0" w14:textId="77777777" w:rsidR="002F3DDE" w:rsidRPr="002F3DDE" w:rsidRDefault="002F3DDE" w:rsidP="002F3DDE">
                  <w:pPr>
                    <w:spacing w:after="0"/>
                    <w:jc w:val="center"/>
                    <w:rPr>
                      <w:rFonts w:eastAsia="Times New Roman" w:cs="Times New Roman"/>
                      <w:szCs w:val="24"/>
                      <w:lang w:eastAsia="fr-FR"/>
                    </w:rPr>
                  </w:pPr>
                  <w:r w:rsidRPr="002F3DDE">
                    <w:rPr>
                      <w:rFonts w:ascii="Arial" w:eastAsia="Times New Roman" w:hAnsi="Arial" w:cs="Arial"/>
                      <w:color w:val="000000"/>
                      <w:sz w:val="18"/>
                      <w:szCs w:val="18"/>
                      <w:lang w:eastAsia="fr-FR"/>
                    </w:rPr>
                    <w:t>95% du temps</w:t>
                  </w:r>
                </w:p>
              </w:tc>
              <w:tc>
                <w:tcPr>
                  <w:tcW w:w="1485" w:type="dxa"/>
                  <w:tcBorders>
                    <w:top w:val="nil"/>
                    <w:left w:val="single" w:sz="8" w:space="0" w:color="111111"/>
                    <w:bottom w:val="single" w:sz="8" w:space="0" w:color="111111"/>
                    <w:right w:val="nil"/>
                  </w:tcBorders>
                  <w:hideMark/>
                </w:tcPr>
                <w:p w14:paraId="0C018800" w14:textId="77777777" w:rsidR="002F3DDE" w:rsidRPr="002F3DDE" w:rsidRDefault="002F3DDE" w:rsidP="002F3DDE">
                  <w:pPr>
                    <w:spacing w:after="0"/>
                    <w:jc w:val="center"/>
                    <w:rPr>
                      <w:rFonts w:eastAsia="Times New Roman" w:cs="Times New Roman"/>
                      <w:szCs w:val="24"/>
                      <w:lang w:eastAsia="fr-FR"/>
                    </w:rPr>
                  </w:pPr>
                  <w:r w:rsidRPr="002F3DDE">
                    <w:rPr>
                      <w:rFonts w:ascii="Arial" w:eastAsia="Times New Roman" w:hAnsi="Arial" w:cs="Arial"/>
                      <w:color w:val="000000"/>
                      <w:sz w:val="18"/>
                      <w:szCs w:val="18"/>
                      <w:lang w:eastAsia="fr-FR"/>
                    </w:rPr>
                    <w:t>Analyse en continu</w:t>
                  </w:r>
                </w:p>
              </w:tc>
              <w:tc>
                <w:tcPr>
                  <w:tcW w:w="930" w:type="dxa"/>
                  <w:tcBorders>
                    <w:top w:val="nil"/>
                    <w:left w:val="single" w:sz="8" w:space="0" w:color="111111"/>
                    <w:bottom w:val="single" w:sz="8" w:space="0" w:color="111111"/>
                    <w:right w:val="nil"/>
                  </w:tcBorders>
                  <w:hideMark/>
                </w:tcPr>
                <w:p w14:paraId="31CB2EE2" w14:textId="77777777" w:rsidR="002F3DDE" w:rsidRPr="002F3DDE" w:rsidRDefault="002F3DDE" w:rsidP="002F3DDE">
                  <w:pPr>
                    <w:spacing w:after="0"/>
                    <w:jc w:val="center"/>
                    <w:rPr>
                      <w:rFonts w:eastAsia="Times New Roman" w:cs="Times New Roman"/>
                      <w:szCs w:val="24"/>
                      <w:lang w:eastAsia="fr-FR"/>
                    </w:rPr>
                  </w:pPr>
                  <w:r w:rsidRPr="002F3DDE">
                    <w:rPr>
                      <w:rFonts w:ascii="Arial" w:eastAsia="Times New Roman" w:hAnsi="Arial" w:cs="Arial"/>
                      <w:b/>
                      <w:bCs/>
                      <w:color w:val="000000"/>
                      <w:sz w:val="18"/>
                      <w:szCs w:val="18"/>
                      <w:bdr w:val="none" w:sz="0" w:space="0" w:color="auto" w:frame="1"/>
                      <w:lang w:eastAsia="fr-FR"/>
                    </w:rPr>
                    <w:t>96,0%</w:t>
                  </w:r>
                </w:p>
              </w:tc>
              <w:tc>
                <w:tcPr>
                  <w:tcW w:w="1875" w:type="dxa"/>
                  <w:tcBorders>
                    <w:top w:val="nil"/>
                    <w:left w:val="single" w:sz="8" w:space="0" w:color="111111"/>
                    <w:bottom w:val="single" w:sz="8" w:space="0" w:color="111111"/>
                    <w:right w:val="single" w:sz="8" w:space="0" w:color="111111"/>
                  </w:tcBorders>
                  <w:hideMark/>
                </w:tcPr>
                <w:p w14:paraId="5AD2677F" w14:textId="77777777" w:rsidR="002F3DDE" w:rsidRPr="002F3DDE" w:rsidRDefault="002F3DDE" w:rsidP="002F3DDE">
                  <w:pPr>
                    <w:spacing w:after="0"/>
                    <w:jc w:val="center"/>
                    <w:rPr>
                      <w:rFonts w:eastAsia="Times New Roman" w:cs="Times New Roman"/>
                      <w:szCs w:val="24"/>
                      <w:lang w:eastAsia="fr-FR"/>
                    </w:rPr>
                  </w:pPr>
                </w:p>
              </w:tc>
            </w:tr>
            <w:tr w:rsidR="002F3DDE" w:rsidRPr="002F3DDE" w14:paraId="43696A77" w14:textId="77777777" w:rsidTr="002F3DDE">
              <w:trPr>
                <w:tblCellSpacing w:w="0" w:type="dxa"/>
              </w:trPr>
              <w:tc>
                <w:tcPr>
                  <w:tcW w:w="1470" w:type="dxa"/>
                  <w:tcBorders>
                    <w:top w:val="nil"/>
                    <w:left w:val="single" w:sz="8" w:space="0" w:color="111111"/>
                    <w:bottom w:val="single" w:sz="8" w:space="0" w:color="111111"/>
                    <w:right w:val="nil"/>
                  </w:tcBorders>
                  <w:hideMark/>
                </w:tcPr>
                <w:p w14:paraId="305F3980" w14:textId="77777777" w:rsidR="002F3DDE" w:rsidRPr="002F3DDE" w:rsidRDefault="002F3DDE" w:rsidP="002F3DDE">
                  <w:pPr>
                    <w:spacing w:after="0"/>
                    <w:jc w:val="both"/>
                    <w:rPr>
                      <w:rFonts w:eastAsia="Times New Roman" w:cs="Times New Roman"/>
                      <w:szCs w:val="24"/>
                      <w:lang w:eastAsia="fr-FR"/>
                    </w:rPr>
                  </w:pPr>
                  <w:r w:rsidRPr="002F3DDE">
                    <w:rPr>
                      <w:rFonts w:ascii="Arial" w:eastAsia="Times New Roman" w:hAnsi="Arial" w:cs="Arial"/>
                      <w:b/>
                      <w:bCs/>
                      <w:color w:val="000000"/>
                      <w:sz w:val="18"/>
                      <w:szCs w:val="18"/>
                      <w:bdr w:val="none" w:sz="0" w:space="0" w:color="auto" w:frame="1"/>
                      <w:lang w:eastAsia="fr-FR"/>
                    </w:rPr>
                    <w:t>Soufre total</w:t>
                  </w:r>
                </w:p>
              </w:tc>
              <w:tc>
                <w:tcPr>
                  <w:tcW w:w="1425" w:type="dxa"/>
                  <w:tcBorders>
                    <w:top w:val="nil"/>
                    <w:left w:val="single" w:sz="8" w:space="0" w:color="111111"/>
                    <w:bottom w:val="single" w:sz="8" w:space="0" w:color="111111"/>
                    <w:right w:val="nil"/>
                  </w:tcBorders>
                  <w:hideMark/>
                </w:tcPr>
                <w:p w14:paraId="502DB7DE" w14:textId="77777777" w:rsidR="002F3DDE" w:rsidRPr="002F3DDE" w:rsidRDefault="002F3DDE" w:rsidP="002F3DDE">
                  <w:pPr>
                    <w:spacing w:after="0"/>
                    <w:jc w:val="center"/>
                    <w:rPr>
                      <w:rFonts w:eastAsia="Times New Roman" w:cs="Times New Roman"/>
                      <w:szCs w:val="24"/>
                      <w:lang w:eastAsia="fr-FR"/>
                    </w:rPr>
                  </w:pPr>
                  <w:r w:rsidRPr="002F3DDE">
                    <w:rPr>
                      <w:rFonts w:ascii="Arial" w:eastAsia="Times New Roman" w:hAnsi="Arial" w:cs="Arial"/>
                      <w:color w:val="000000"/>
                      <w:sz w:val="18"/>
                      <w:szCs w:val="18"/>
                      <w:lang w:eastAsia="fr-FR"/>
                    </w:rPr>
                    <w:t>0,12 mg S/m</w:t>
                  </w:r>
                  <w:r w:rsidRPr="002F3DDE">
                    <w:rPr>
                      <w:rFonts w:ascii="Arial" w:eastAsia="Times New Roman" w:hAnsi="Arial" w:cs="Arial"/>
                      <w:color w:val="000000"/>
                      <w:sz w:val="15"/>
                      <w:szCs w:val="15"/>
                      <w:bdr w:val="none" w:sz="0" w:space="0" w:color="auto" w:frame="1"/>
                      <w:vertAlign w:val="superscript"/>
                      <w:lang w:eastAsia="fr-FR"/>
                    </w:rPr>
                    <w:t>3</w:t>
                  </w:r>
                </w:p>
              </w:tc>
              <w:tc>
                <w:tcPr>
                  <w:tcW w:w="1290" w:type="dxa"/>
                  <w:tcBorders>
                    <w:top w:val="nil"/>
                    <w:left w:val="single" w:sz="8" w:space="0" w:color="111111"/>
                    <w:bottom w:val="single" w:sz="8" w:space="0" w:color="111111"/>
                    <w:right w:val="nil"/>
                  </w:tcBorders>
                  <w:hideMark/>
                </w:tcPr>
                <w:p w14:paraId="04F3ADB9" w14:textId="77777777" w:rsidR="002F3DDE" w:rsidRPr="002F3DDE" w:rsidRDefault="002F3DDE" w:rsidP="002F3DDE">
                  <w:pPr>
                    <w:spacing w:after="0"/>
                    <w:jc w:val="center"/>
                    <w:rPr>
                      <w:rFonts w:eastAsia="Times New Roman" w:cs="Times New Roman"/>
                      <w:szCs w:val="24"/>
                      <w:lang w:eastAsia="fr-FR"/>
                    </w:rPr>
                  </w:pPr>
                  <w:r w:rsidRPr="002F3DDE">
                    <w:rPr>
                      <w:rFonts w:ascii="Arial" w:eastAsia="Times New Roman" w:hAnsi="Arial" w:cs="Arial"/>
                      <w:color w:val="000000"/>
                      <w:sz w:val="18"/>
                      <w:szCs w:val="18"/>
                      <w:lang w:eastAsia="fr-FR"/>
                    </w:rPr>
                    <w:t>0,24 mg S/m</w:t>
                  </w:r>
                  <w:r w:rsidRPr="002F3DDE">
                    <w:rPr>
                      <w:rFonts w:ascii="Arial" w:eastAsia="Times New Roman" w:hAnsi="Arial" w:cs="Arial"/>
                      <w:color w:val="000000"/>
                      <w:sz w:val="15"/>
                      <w:szCs w:val="15"/>
                      <w:bdr w:val="none" w:sz="0" w:space="0" w:color="auto" w:frame="1"/>
                      <w:vertAlign w:val="superscript"/>
                      <w:lang w:eastAsia="fr-FR"/>
                    </w:rPr>
                    <w:t>3</w:t>
                  </w:r>
                </w:p>
              </w:tc>
              <w:tc>
                <w:tcPr>
                  <w:tcW w:w="1125" w:type="dxa"/>
                  <w:tcBorders>
                    <w:top w:val="nil"/>
                    <w:left w:val="single" w:sz="8" w:space="0" w:color="111111"/>
                    <w:bottom w:val="single" w:sz="8" w:space="0" w:color="111111"/>
                    <w:right w:val="nil"/>
                  </w:tcBorders>
                  <w:hideMark/>
                </w:tcPr>
                <w:p w14:paraId="135C3F2B" w14:textId="77777777" w:rsidR="002F3DDE" w:rsidRPr="002F3DDE" w:rsidRDefault="002F3DDE" w:rsidP="002F3DDE">
                  <w:pPr>
                    <w:spacing w:after="0"/>
                    <w:jc w:val="center"/>
                    <w:rPr>
                      <w:rFonts w:eastAsia="Times New Roman" w:cs="Times New Roman"/>
                      <w:szCs w:val="24"/>
                      <w:lang w:eastAsia="fr-FR"/>
                    </w:rPr>
                  </w:pPr>
                  <w:r w:rsidRPr="002F3DDE">
                    <w:rPr>
                      <w:rFonts w:ascii="Arial" w:eastAsia="Times New Roman" w:hAnsi="Arial" w:cs="Arial"/>
                      <w:color w:val="000000"/>
                      <w:sz w:val="18"/>
                      <w:szCs w:val="18"/>
                      <w:lang w:eastAsia="fr-FR"/>
                    </w:rPr>
                    <w:t>95% du temps</w:t>
                  </w:r>
                </w:p>
              </w:tc>
              <w:tc>
                <w:tcPr>
                  <w:tcW w:w="1485" w:type="dxa"/>
                  <w:tcBorders>
                    <w:top w:val="nil"/>
                    <w:left w:val="single" w:sz="8" w:space="0" w:color="111111"/>
                    <w:bottom w:val="single" w:sz="8" w:space="0" w:color="111111"/>
                    <w:right w:val="nil"/>
                  </w:tcBorders>
                  <w:hideMark/>
                </w:tcPr>
                <w:p w14:paraId="54F0077F" w14:textId="77777777" w:rsidR="002F3DDE" w:rsidRPr="002F3DDE" w:rsidRDefault="002F3DDE" w:rsidP="002F3DDE">
                  <w:pPr>
                    <w:spacing w:after="0"/>
                    <w:jc w:val="center"/>
                    <w:rPr>
                      <w:rFonts w:eastAsia="Times New Roman" w:cs="Times New Roman"/>
                      <w:szCs w:val="24"/>
                      <w:lang w:eastAsia="fr-FR"/>
                    </w:rPr>
                  </w:pPr>
                  <w:r w:rsidRPr="002F3DDE">
                    <w:rPr>
                      <w:rFonts w:ascii="Arial" w:eastAsia="Times New Roman" w:hAnsi="Arial" w:cs="Arial"/>
                      <w:color w:val="000000"/>
                      <w:sz w:val="18"/>
                      <w:szCs w:val="18"/>
                      <w:lang w:eastAsia="fr-FR"/>
                    </w:rPr>
                    <w:t>Analyse en continu</w:t>
                  </w:r>
                </w:p>
              </w:tc>
              <w:tc>
                <w:tcPr>
                  <w:tcW w:w="930" w:type="dxa"/>
                  <w:tcBorders>
                    <w:top w:val="nil"/>
                    <w:left w:val="single" w:sz="8" w:space="0" w:color="111111"/>
                    <w:bottom w:val="single" w:sz="8" w:space="0" w:color="111111"/>
                    <w:right w:val="nil"/>
                  </w:tcBorders>
                  <w:hideMark/>
                </w:tcPr>
                <w:p w14:paraId="175C79CB" w14:textId="77777777" w:rsidR="002F3DDE" w:rsidRPr="002F3DDE" w:rsidRDefault="002F3DDE" w:rsidP="002F3DDE">
                  <w:pPr>
                    <w:spacing w:after="0"/>
                    <w:jc w:val="center"/>
                    <w:rPr>
                      <w:rFonts w:eastAsia="Times New Roman" w:cs="Times New Roman"/>
                      <w:szCs w:val="24"/>
                      <w:lang w:eastAsia="fr-FR"/>
                    </w:rPr>
                  </w:pPr>
                  <w:r w:rsidRPr="002F3DDE">
                    <w:rPr>
                      <w:rFonts w:ascii="Arial" w:eastAsia="Times New Roman" w:hAnsi="Arial" w:cs="Arial"/>
                      <w:b/>
                      <w:bCs/>
                      <w:color w:val="000000"/>
                      <w:sz w:val="18"/>
                      <w:szCs w:val="18"/>
                      <w:bdr w:val="none" w:sz="0" w:space="0" w:color="auto" w:frame="1"/>
                      <w:lang w:eastAsia="fr-FR"/>
                    </w:rPr>
                    <w:t>92,8%</w:t>
                  </w:r>
                </w:p>
              </w:tc>
              <w:tc>
                <w:tcPr>
                  <w:tcW w:w="1875" w:type="dxa"/>
                  <w:tcBorders>
                    <w:top w:val="nil"/>
                    <w:left w:val="single" w:sz="8" w:space="0" w:color="111111"/>
                    <w:bottom w:val="single" w:sz="8" w:space="0" w:color="111111"/>
                    <w:right w:val="single" w:sz="8" w:space="0" w:color="111111"/>
                  </w:tcBorders>
                  <w:hideMark/>
                </w:tcPr>
                <w:p w14:paraId="51B90E60" w14:textId="77777777" w:rsidR="002F3DDE" w:rsidRPr="002F3DDE" w:rsidRDefault="002F3DDE" w:rsidP="002F3DDE">
                  <w:pPr>
                    <w:spacing w:after="0"/>
                    <w:jc w:val="center"/>
                    <w:rPr>
                      <w:rFonts w:eastAsia="Times New Roman" w:cs="Times New Roman"/>
                      <w:szCs w:val="24"/>
                      <w:lang w:eastAsia="fr-FR"/>
                    </w:rPr>
                  </w:pPr>
                  <w:r w:rsidRPr="002F3DDE">
                    <w:rPr>
                      <w:rFonts w:ascii="Arial" w:eastAsia="Times New Roman" w:hAnsi="Arial" w:cs="Arial"/>
                      <w:color w:val="000000"/>
                      <w:sz w:val="18"/>
                      <w:szCs w:val="18"/>
                      <w:lang w:eastAsia="fr-FR"/>
                    </w:rPr>
                    <w:t>Absence de traitement acide*</w:t>
                  </w:r>
                </w:p>
              </w:tc>
            </w:tr>
            <w:tr w:rsidR="002F3DDE" w:rsidRPr="002F3DDE" w14:paraId="46BF7F2B" w14:textId="77777777" w:rsidTr="002F3DDE">
              <w:trPr>
                <w:tblCellSpacing w:w="0" w:type="dxa"/>
              </w:trPr>
              <w:tc>
                <w:tcPr>
                  <w:tcW w:w="1470" w:type="dxa"/>
                  <w:tcBorders>
                    <w:top w:val="nil"/>
                    <w:left w:val="single" w:sz="8" w:space="0" w:color="111111"/>
                    <w:bottom w:val="single" w:sz="8" w:space="0" w:color="111111"/>
                    <w:right w:val="nil"/>
                  </w:tcBorders>
                  <w:hideMark/>
                </w:tcPr>
                <w:p w14:paraId="3E263F28" w14:textId="77777777" w:rsidR="002F3DDE" w:rsidRPr="002F3DDE" w:rsidRDefault="002F3DDE" w:rsidP="002F3DDE">
                  <w:pPr>
                    <w:spacing w:after="0"/>
                    <w:jc w:val="both"/>
                    <w:rPr>
                      <w:rFonts w:eastAsia="Times New Roman" w:cs="Times New Roman"/>
                      <w:szCs w:val="24"/>
                      <w:lang w:eastAsia="fr-FR"/>
                    </w:rPr>
                  </w:pPr>
                  <w:r w:rsidRPr="002F3DDE">
                    <w:rPr>
                      <w:rFonts w:ascii="Arial" w:eastAsia="Times New Roman" w:hAnsi="Arial" w:cs="Arial"/>
                      <w:b/>
                      <w:bCs/>
                      <w:color w:val="000000"/>
                      <w:sz w:val="18"/>
                      <w:szCs w:val="18"/>
                      <w:bdr w:val="none" w:sz="0" w:space="0" w:color="auto" w:frame="1"/>
                      <w:lang w:eastAsia="fr-FR"/>
                    </w:rPr>
                    <w:t>Ammoniac</w:t>
                  </w:r>
                </w:p>
              </w:tc>
              <w:tc>
                <w:tcPr>
                  <w:tcW w:w="1425" w:type="dxa"/>
                  <w:tcBorders>
                    <w:top w:val="nil"/>
                    <w:left w:val="single" w:sz="8" w:space="0" w:color="111111"/>
                    <w:bottom w:val="single" w:sz="8" w:space="0" w:color="111111"/>
                    <w:right w:val="nil"/>
                  </w:tcBorders>
                  <w:hideMark/>
                </w:tcPr>
                <w:p w14:paraId="5C51B8E5" w14:textId="77777777" w:rsidR="002F3DDE" w:rsidRPr="002F3DDE" w:rsidRDefault="002F3DDE" w:rsidP="002F3DDE">
                  <w:pPr>
                    <w:spacing w:after="0"/>
                    <w:jc w:val="center"/>
                    <w:rPr>
                      <w:rFonts w:eastAsia="Times New Roman" w:cs="Times New Roman"/>
                      <w:szCs w:val="24"/>
                      <w:lang w:eastAsia="fr-FR"/>
                    </w:rPr>
                  </w:pPr>
                  <w:r w:rsidRPr="002F3DDE">
                    <w:rPr>
                      <w:rFonts w:ascii="Arial" w:eastAsia="Times New Roman" w:hAnsi="Arial" w:cs="Arial"/>
                      <w:color w:val="000000"/>
                      <w:sz w:val="18"/>
                      <w:szCs w:val="18"/>
                      <w:lang w:eastAsia="fr-FR"/>
                    </w:rPr>
                    <w:t>0,1 mg N/m</w:t>
                  </w:r>
                  <w:r w:rsidRPr="002F3DDE">
                    <w:rPr>
                      <w:rFonts w:ascii="Arial" w:eastAsia="Times New Roman" w:hAnsi="Arial" w:cs="Arial"/>
                      <w:color w:val="000000"/>
                      <w:sz w:val="15"/>
                      <w:szCs w:val="15"/>
                      <w:bdr w:val="none" w:sz="0" w:space="0" w:color="auto" w:frame="1"/>
                      <w:vertAlign w:val="superscript"/>
                      <w:lang w:eastAsia="fr-FR"/>
                    </w:rPr>
                    <w:t>3</w:t>
                  </w:r>
                </w:p>
              </w:tc>
              <w:tc>
                <w:tcPr>
                  <w:tcW w:w="1290" w:type="dxa"/>
                  <w:tcBorders>
                    <w:top w:val="nil"/>
                    <w:left w:val="single" w:sz="8" w:space="0" w:color="111111"/>
                    <w:bottom w:val="single" w:sz="8" w:space="0" w:color="111111"/>
                    <w:right w:val="nil"/>
                  </w:tcBorders>
                  <w:hideMark/>
                </w:tcPr>
                <w:p w14:paraId="462F2174" w14:textId="77777777" w:rsidR="002F3DDE" w:rsidRPr="002F3DDE" w:rsidRDefault="002F3DDE" w:rsidP="002F3DDE">
                  <w:pPr>
                    <w:spacing w:after="0"/>
                    <w:jc w:val="center"/>
                    <w:rPr>
                      <w:rFonts w:eastAsia="Times New Roman" w:cs="Times New Roman"/>
                      <w:szCs w:val="24"/>
                      <w:lang w:eastAsia="fr-FR"/>
                    </w:rPr>
                  </w:pPr>
                  <w:r w:rsidRPr="002F3DDE">
                    <w:rPr>
                      <w:rFonts w:ascii="Arial" w:eastAsia="Times New Roman" w:hAnsi="Arial" w:cs="Arial"/>
                      <w:color w:val="000000"/>
                      <w:sz w:val="18"/>
                      <w:szCs w:val="18"/>
                      <w:lang w:eastAsia="fr-FR"/>
                    </w:rPr>
                    <w:t>0,2 mg N/m</w:t>
                  </w:r>
                  <w:r w:rsidRPr="002F3DDE">
                    <w:rPr>
                      <w:rFonts w:ascii="Arial" w:eastAsia="Times New Roman" w:hAnsi="Arial" w:cs="Arial"/>
                      <w:color w:val="000000"/>
                      <w:sz w:val="15"/>
                      <w:szCs w:val="15"/>
                      <w:bdr w:val="none" w:sz="0" w:space="0" w:color="auto" w:frame="1"/>
                      <w:vertAlign w:val="superscript"/>
                      <w:lang w:eastAsia="fr-FR"/>
                    </w:rPr>
                    <w:t>3</w:t>
                  </w:r>
                </w:p>
              </w:tc>
              <w:tc>
                <w:tcPr>
                  <w:tcW w:w="1125" w:type="dxa"/>
                  <w:tcBorders>
                    <w:top w:val="nil"/>
                    <w:left w:val="single" w:sz="8" w:space="0" w:color="111111"/>
                    <w:bottom w:val="single" w:sz="8" w:space="0" w:color="111111"/>
                    <w:right w:val="nil"/>
                  </w:tcBorders>
                  <w:hideMark/>
                </w:tcPr>
                <w:p w14:paraId="19232713" w14:textId="77777777" w:rsidR="002F3DDE" w:rsidRPr="002F3DDE" w:rsidRDefault="002F3DDE" w:rsidP="002F3DDE">
                  <w:pPr>
                    <w:spacing w:after="0"/>
                    <w:jc w:val="center"/>
                    <w:rPr>
                      <w:rFonts w:eastAsia="Times New Roman" w:cs="Times New Roman"/>
                      <w:szCs w:val="24"/>
                      <w:lang w:eastAsia="fr-FR"/>
                    </w:rPr>
                  </w:pPr>
                  <w:r w:rsidRPr="002F3DDE">
                    <w:rPr>
                      <w:rFonts w:ascii="Arial" w:eastAsia="Times New Roman" w:hAnsi="Arial" w:cs="Arial"/>
                      <w:color w:val="000000"/>
                      <w:sz w:val="18"/>
                      <w:szCs w:val="18"/>
                      <w:lang w:eastAsia="fr-FR"/>
                    </w:rPr>
                    <w:t>95% du temps</w:t>
                  </w:r>
                </w:p>
              </w:tc>
              <w:tc>
                <w:tcPr>
                  <w:tcW w:w="1485" w:type="dxa"/>
                  <w:tcBorders>
                    <w:top w:val="nil"/>
                    <w:left w:val="single" w:sz="8" w:space="0" w:color="111111"/>
                    <w:bottom w:val="single" w:sz="8" w:space="0" w:color="111111"/>
                    <w:right w:val="nil"/>
                  </w:tcBorders>
                  <w:hideMark/>
                </w:tcPr>
                <w:p w14:paraId="749EC5C3" w14:textId="77777777" w:rsidR="002F3DDE" w:rsidRPr="002F3DDE" w:rsidRDefault="002F3DDE" w:rsidP="002F3DDE">
                  <w:pPr>
                    <w:spacing w:after="0"/>
                    <w:jc w:val="center"/>
                    <w:rPr>
                      <w:rFonts w:eastAsia="Times New Roman" w:cs="Times New Roman"/>
                      <w:szCs w:val="24"/>
                      <w:lang w:eastAsia="fr-FR"/>
                    </w:rPr>
                  </w:pPr>
                  <w:r w:rsidRPr="002F3DDE">
                    <w:rPr>
                      <w:rFonts w:ascii="Arial" w:eastAsia="Times New Roman" w:hAnsi="Arial" w:cs="Arial"/>
                      <w:color w:val="000000"/>
                      <w:sz w:val="18"/>
                      <w:szCs w:val="18"/>
                      <w:lang w:eastAsia="fr-FR"/>
                    </w:rPr>
                    <w:t>Suivi en continu</w:t>
                  </w:r>
                </w:p>
              </w:tc>
              <w:tc>
                <w:tcPr>
                  <w:tcW w:w="930" w:type="dxa"/>
                  <w:vMerge w:val="restart"/>
                  <w:tcBorders>
                    <w:top w:val="nil"/>
                    <w:left w:val="single" w:sz="8" w:space="0" w:color="111111"/>
                    <w:bottom w:val="single" w:sz="8" w:space="0" w:color="111111"/>
                    <w:right w:val="nil"/>
                  </w:tcBorders>
                  <w:hideMark/>
                </w:tcPr>
                <w:p w14:paraId="0A15BD15" w14:textId="77777777" w:rsidR="002F3DDE" w:rsidRPr="002F3DDE" w:rsidRDefault="002F3DDE" w:rsidP="002F3DDE">
                  <w:pPr>
                    <w:spacing w:after="0"/>
                    <w:jc w:val="center"/>
                    <w:rPr>
                      <w:rFonts w:eastAsia="Times New Roman" w:cs="Times New Roman"/>
                      <w:szCs w:val="24"/>
                      <w:lang w:eastAsia="fr-FR"/>
                    </w:rPr>
                  </w:pPr>
                  <w:r w:rsidRPr="002F3DDE">
                    <w:rPr>
                      <w:rFonts w:ascii="Arial" w:eastAsia="Times New Roman" w:hAnsi="Arial" w:cs="Arial"/>
                      <w:b/>
                      <w:bCs/>
                      <w:color w:val="000000"/>
                      <w:sz w:val="18"/>
                      <w:szCs w:val="18"/>
                      <w:bdr w:val="none" w:sz="0" w:space="0" w:color="auto" w:frame="1"/>
                      <w:lang w:eastAsia="fr-FR"/>
                    </w:rPr>
                    <w:t>85,7%</w:t>
                  </w:r>
                </w:p>
              </w:tc>
              <w:tc>
                <w:tcPr>
                  <w:tcW w:w="1875" w:type="dxa"/>
                  <w:tcBorders>
                    <w:top w:val="nil"/>
                    <w:left w:val="single" w:sz="8" w:space="0" w:color="111111"/>
                    <w:bottom w:val="single" w:sz="8" w:space="0" w:color="111111"/>
                    <w:right w:val="single" w:sz="8" w:space="0" w:color="111111"/>
                  </w:tcBorders>
                  <w:hideMark/>
                </w:tcPr>
                <w:p w14:paraId="7F039030" w14:textId="77777777" w:rsidR="002F3DDE" w:rsidRPr="002F3DDE" w:rsidRDefault="002F3DDE" w:rsidP="002F3DDE">
                  <w:pPr>
                    <w:spacing w:after="0"/>
                    <w:jc w:val="center"/>
                    <w:rPr>
                      <w:rFonts w:eastAsia="Times New Roman" w:cs="Times New Roman"/>
                      <w:szCs w:val="24"/>
                      <w:lang w:eastAsia="fr-FR"/>
                    </w:rPr>
                  </w:pPr>
                  <w:r w:rsidRPr="002F3DDE">
                    <w:rPr>
                      <w:rFonts w:ascii="Arial" w:eastAsia="Times New Roman" w:hAnsi="Arial" w:cs="Arial"/>
                      <w:color w:val="000000"/>
                      <w:sz w:val="18"/>
                      <w:szCs w:val="18"/>
                      <w:lang w:eastAsia="fr-FR"/>
                    </w:rPr>
                    <w:t>Absence de traitement acide*</w:t>
                  </w:r>
                </w:p>
              </w:tc>
            </w:tr>
            <w:tr w:rsidR="002F3DDE" w:rsidRPr="002F3DDE" w14:paraId="6C1AB6BF" w14:textId="77777777" w:rsidTr="002F3DDE">
              <w:trPr>
                <w:tblCellSpacing w:w="0" w:type="dxa"/>
              </w:trPr>
              <w:tc>
                <w:tcPr>
                  <w:tcW w:w="1470" w:type="dxa"/>
                  <w:tcBorders>
                    <w:top w:val="nil"/>
                    <w:left w:val="single" w:sz="8" w:space="0" w:color="111111"/>
                    <w:bottom w:val="single" w:sz="8" w:space="0" w:color="111111"/>
                    <w:right w:val="nil"/>
                  </w:tcBorders>
                  <w:hideMark/>
                </w:tcPr>
                <w:p w14:paraId="3B7E66AB" w14:textId="77777777" w:rsidR="002F3DDE" w:rsidRPr="002F3DDE" w:rsidRDefault="002F3DDE" w:rsidP="002F3DDE">
                  <w:pPr>
                    <w:spacing w:after="0"/>
                    <w:jc w:val="both"/>
                    <w:rPr>
                      <w:rFonts w:eastAsia="Times New Roman" w:cs="Times New Roman"/>
                      <w:szCs w:val="24"/>
                      <w:lang w:eastAsia="fr-FR"/>
                    </w:rPr>
                  </w:pPr>
                  <w:r w:rsidRPr="002F3DDE">
                    <w:rPr>
                      <w:rFonts w:ascii="Arial" w:eastAsia="Times New Roman" w:hAnsi="Arial" w:cs="Arial"/>
                      <w:b/>
                      <w:bCs/>
                      <w:color w:val="000000"/>
                      <w:sz w:val="18"/>
                      <w:szCs w:val="18"/>
                      <w:bdr w:val="none" w:sz="0" w:space="0" w:color="auto" w:frame="1"/>
                      <w:lang w:eastAsia="fr-FR"/>
                    </w:rPr>
                    <w:t>Amines totales</w:t>
                  </w:r>
                </w:p>
              </w:tc>
              <w:tc>
                <w:tcPr>
                  <w:tcW w:w="1425" w:type="dxa"/>
                  <w:tcBorders>
                    <w:top w:val="nil"/>
                    <w:left w:val="single" w:sz="8" w:space="0" w:color="111111"/>
                    <w:bottom w:val="single" w:sz="8" w:space="0" w:color="111111"/>
                    <w:right w:val="nil"/>
                  </w:tcBorders>
                  <w:hideMark/>
                </w:tcPr>
                <w:p w14:paraId="7B3583FC" w14:textId="77777777" w:rsidR="002F3DDE" w:rsidRPr="002F3DDE" w:rsidRDefault="002F3DDE" w:rsidP="002F3DDE">
                  <w:pPr>
                    <w:spacing w:after="0"/>
                    <w:jc w:val="center"/>
                    <w:rPr>
                      <w:rFonts w:eastAsia="Times New Roman" w:cs="Times New Roman"/>
                      <w:szCs w:val="24"/>
                      <w:lang w:eastAsia="fr-FR"/>
                    </w:rPr>
                  </w:pPr>
                  <w:r w:rsidRPr="002F3DDE">
                    <w:rPr>
                      <w:rFonts w:ascii="Arial" w:eastAsia="Times New Roman" w:hAnsi="Arial" w:cs="Arial"/>
                      <w:color w:val="000000"/>
                      <w:sz w:val="18"/>
                      <w:szCs w:val="18"/>
                      <w:lang w:eastAsia="fr-FR"/>
                    </w:rPr>
                    <w:t>0,01 mg N/m</w:t>
                  </w:r>
                  <w:r w:rsidRPr="002F3DDE">
                    <w:rPr>
                      <w:rFonts w:ascii="Arial" w:eastAsia="Times New Roman" w:hAnsi="Arial" w:cs="Arial"/>
                      <w:color w:val="000000"/>
                      <w:sz w:val="15"/>
                      <w:szCs w:val="15"/>
                      <w:bdr w:val="none" w:sz="0" w:space="0" w:color="auto" w:frame="1"/>
                      <w:vertAlign w:val="superscript"/>
                      <w:lang w:eastAsia="fr-FR"/>
                    </w:rPr>
                    <w:t>3</w:t>
                  </w:r>
                </w:p>
              </w:tc>
              <w:tc>
                <w:tcPr>
                  <w:tcW w:w="1290" w:type="dxa"/>
                  <w:tcBorders>
                    <w:top w:val="nil"/>
                    <w:left w:val="single" w:sz="8" w:space="0" w:color="111111"/>
                    <w:bottom w:val="single" w:sz="8" w:space="0" w:color="111111"/>
                    <w:right w:val="nil"/>
                  </w:tcBorders>
                  <w:hideMark/>
                </w:tcPr>
                <w:p w14:paraId="4F1560E5" w14:textId="77777777" w:rsidR="002F3DDE" w:rsidRPr="002F3DDE" w:rsidRDefault="002F3DDE" w:rsidP="002F3DDE">
                  <w:pPr>
                    <w:spacing w:after="0"/>
                    <w:jc w:val="center"/>
                    <w:rPr>
                      <w:rFonts w:eastAsia="Times New Roman" w:cs="Times New Roman"/>
                      <w:szCs w:val="24"/>
                      <w:lang w:eastAsia="fr-FR"/>
                    </w:rPr>
                  </w:pPr>
                  <w:r w:rsidRPr="002F3DDE">
                    <w:rPr>
                      <w:rFonts w:ascii="Arial" w:eastAsia="Times New Roman" w:hAnsi="Arial" w:cs="Arial"/>
                      <w:color w:val="000000"/>
                      <w:sz w:val="18"/>
                      <w:szCs w:val="18"/>
                      <w:lang w:eastAsia="fr-FR"/>
                    </w:rPr>
                    <w:t>0,02 mg N/m</w:t>
                  </w:r>
                  <w:r w:rsidRPr="002F3DDE">
                    <w:rPr>
                      <w:rFonts w:ascii="Arial" w:eastAsia="Times New Roman" w:hAnsi="Arial" w:cs="Arial"/>
                      <w:color w:val="000000"/>
                      <w:sz w:val="15"/>
                      <w:szCs w:val="15"/>
                      <w:bdr w:val="none" w:sz="0" w:space="0" w:color="auto" w:frame="1"/>
                      <w:vertAlign w:val="superscript"/>
                      <w:lang w:eastAsia="fr-FR"/>
                    </w:rPr>
                    <w:t>3</w:t>
                  </w:r>
                </w:p>
              </w:tc>
              <w:tc>
                <w:tcPr>
                  <w:tcW w:w="1125" w:type="dxa"/>
                  <w:tcBorders>
                    <w:top w:val="nil"/>
                    <w:left w:val="single" w:sz="8" w:space="0" w:color="111111"/>
                    <w:bottom w:val="single" w:sz="8" w:space="0" w:color="111111"/>
                    <w:right w:val="nil"/>
                  </w:tcBorders>
                  <w:hideMark/>
                </w:tcPr>
                <w:p w14:paraId="0232FEE5" w14:textId="77777777" w:rsidR="002F3DDE" w:rsidRPr="002F3DDE" w:rsidRDefault="002F3DDE" w:rsidP="002F3DDE">
                  <w:pPr>
                    <w:spacing w:after="0"/>
                    <w:jc w:val="center"/>
                    <w:rPr>
                      <w:rFonts w:eastAsia="Times New Roman" w:cs="Times New Roman"/>
                      <w:szCs w:val="24"/>
                      <w:lang w:eastAsia="fr-FR"/>
                    </w:rPr>
                  </w:pPr>
                  <w:r w:rsidRPr="002F3DDE">
                    <w:rPr>
                      <w:rFonts w:ascii="Arial" w:eastAsia="Times New Roman" w:hAnsi="Arial" w:cs="Arial"/>
                      <w:color w:val="000000"/>
                      <w:sz w:val="18"/>
                      <w:szCs w:val="18"/>
                      <w:lang w:eastAsia="fr-FR"/>
                    </w:rPr>
                    <w:t>95% du temps</w:t>
                  </w:r>
                </w:p>
              </w:tc>
              <w:tc>
                <w:tcPr>
                  <w:tcW w:w="1485" w:type="dxa"/>
                  <w:tcBorders>
                    <w:top w:val="nil"/>
                    <w:left w:val="single" w:sz="8" w:space="0" w:color="111111"/>
                    <w:bottom w:val="single" w:sz="8" w:space="0" w:color="111111"/>
                    <w:right w:val="nil"/>
                  </w:tcBorders>
                  <w:hideMark/>
                </w:tcPr>
                <w:p w14:paraId="79695887" w14:textId="77777777" w:rsidR="002F3DDE" w:rsidRPr="002F3DDE" w:rsidRDefault="002F3DDE" w:rsidP="002F3DDE">
                  <w:pPr>
                    <w:spacing w:after="0"/>
                    <w:jc w:val="center"/>
                    <w:rPr>
                      <w:rFonts w:eastAsia="Times New Roman" w:cs="Times New Roman"/>
                      <w:szCs w:val="24"/>
                      <w:lang w:eastAsia="fr-FR"/>
                    </w:rPr>
                  </w:pPr>
                  <w:r w:rsidRPr="002F3DDE">
                    <w:rPr>
                      <w:rFonts w:ascii="Arial" w:eastAsia="Times New Roman" w:hAnsi="Arial" w:cs="Arial"/>
                      <w:color w:val="000000"/>
                      <w:sz w:val="18"/>
                      <w:szCs w:val="18"/>
                      <w:lang w:eastAsia="fr-FR"/>
                    </w:rPr>
                    <w:t>Suivi en continu</w:t>
                  </w:r>
                </w:p>
              </w:tc>
              <w:tc>
                <w:tcPr>
                  <w:tcW w:w="0" w:type="auto"/>
                  <w:vMerge/>
                  <w:tcBorders>
                    <w:top w:val="nil"/>
                    <w:left w:val="single" w:sz="8" w:space="0" w:color="111111"/>
                    <w:bottom w:val="single" w:sz="8" w:space="0" w:color="111111"/>
                    <w:right w:val="nil"/>
                  </w:tcBorders>
                  <w:vAlign w:val="center"/>
                  <w:hideMark/>
                </w:tcPr>
                <w:p w14:paraId="59761BDE" w14:textId="77777777" w:rsidR="002F3DDE" w:rsidRPr="002F3DDE" w:rsidRDefault="002F3DDE" w:rsidP="002F3DDE">
                  <w:pPr>
                    <w:spacing w:after="0"/>
                    <w:jc w:val="center"/>
                    <w:rPr>
                      <w:rFonts w:eastAsia="Times New Roman" w:cs="Times New Roman"/>
                      <w:szCs w:val="24"/>
                      <w:lang w:eastAsia="fr-FR"/>
                    </w:rPr>
                  </w:pPr>
                </w:p>
              </w:tc>
              <w:tc>
                <w:tcPr>
                  <w:tcW w:w="1875" w:type="dxa"/>
                  <w:tcBorders>
                    <w:top w:val="nil"/>
                    <w:left w:val="single" w:sz="8" w:space="0" w:color="111111"/>
                    <w:bottom w:val="single" w:sz="8" w:space="0" w:color="111111"/>
                    <w:right w:val="single" w:sz="8" w:space="0" w:color="111111"/>
                  </w:tcBorders>
                  <w:hideMark/>
                </w:tcPr>
                <w:p w14:paraId="231808EA" w14:textId="77777777" w:rsidR="002F3DDE" w:rsidRPr="002F3DDE" w:rsidRDefault="002F3DDE" w:rsidP="002F3DDE">
                  <w:pPr>
                    <w:spacing w:after="0"/>
                    <w:jc w:val="center"/>
                    <w:rPr>
                      <w:rFonts w:eastAsia="Times New Roman" w:cs="Times New Roman"/>
                      <w:szCs w:val="24"/>
                      <w:lang w:eastAsia="fr-FR"/>
                    </w:rPr>
                  </w:pPr>
                  <w:r w:rsidRPr="002F3DDE">
                    <w:rPr>
                      <w:rFonts w:ascii="Arial" w:eastAsia="Times New Roman" w:hAnsi="Arial" w:cs="Arial"/>
                      <w:color w:val="000000"/>
                      <w:sz w:val="18"/>
                      <w:szCs w:val="18"/>
                      <w:lang w:eastAsia="fr-FR"/>
                    </w:rPr>
                    <w:t>Absence de traitement acide*</w:t>
                  </w:r>
                </w:p>
              </w:tc>
            </w:tr>
            <w:tr w:rsidR="002F3DDE" w:rsidRPr="002F3DDE" w14:paraId="6C41AFDE" w14:textId="77777777" w:rsidTr="002F3DDE">
              <w:trPr>
                <w:tblCellSpacing w:w="0" w:type="dxa"/>
              </w:trPr>
              <w:tc>
                <w:tcPr>
                  <w:tcW w:w="1470" w:type="dxa"/>
                  <w:tcBorders>
                    <w:top w:val="nil"/>
                    <w:left w:val="single" w:sz="8" w:space="0" w:color="111111"/>
                    <w:bottom w:val="single" w:sz="8" w:space="0" w:color="111111"/>
                    <w:right w:val="nil"/>
                  </w:tcBorders>
                  <w:hideMark/>
                </w:tcPr>
                <w:p w14:paraId="57E1B100" w14:textId="77777777" w:rsidR="002F3DDE" w:rsidRPr="002F3DDE" w:rsidRDefault="002F3DDE" w:rsidP="002F3DDE">
                  <w:pPr>
                    <w:spacing w:after="0"/>
                    <w:jc w:val="both"/>
                    <w:rPr>
                      <w:rFonts w:eastAsia="Times New Roman" w:cs="Times New Roman"/>
                      <w:szCs w:val="24"/>
                      <w:lang w:eastAsia="fr-FR"/>
                    </w:rPr>
                  </w:pPr>
                  <w:r w:rsidRPr="002F3DDE">
                    <w:rPr>
                      <w:rFonts w:ascii="Arial" w:eastAsia="Times New Roman" w:hAnsi="Arial" w:cs="Arial"/>
                      <w:b/>
                      <w:bCs/>
                      <w:color w:val="000000"/>
                      <w:sz w:val="18"/>
                      <w:szCs w:val="18"/>
                      <w:bdr w:val="none" w:sz="0" w:space="0" w:color="auto" w:frame="1"/>
                      <w:lang w:eastAsia="fr-FR"/>
                    </w:rPr>
                    <w:t>Aldéhydes et cétones</w:t>
                  </w:r>
                </w:p>
              </w:tc>
              <w:tc>
                <w:tcPr>
                  <w:tcW w:w="1425" w:type="dxa"/>
                  <w:tcBorders>
                    <w:top w:val="nil"/>
                    <w:left w:val="single" w:sz="8" w:space="0" w:color="111111"/>
                    <w:bottom w:val="single" w:sz="8" w:space="0" w:color="111111"/>
                    <w:right w:val="nil"/>
                  </w:tcBorders>
                  <w:hideMark/>
                </w:tcPr>
                <w:p w14:paraId="08503155" w14:textId="77777777" w:rsidR="002F3DDE" w:rsidRPr="002F3DDE" w:rsidRDefault="002F3DDE" w:rsidP="002F3DDE">
                  <w:pPr>
                    <w:spacing w:after="0"/>
                    <w:jc w:val="center"/>
                    <w:rPr>
                      <w:rFonts w:eastAsia="Times New Roman" w:cs="Times New Roman"/>
                      <w:szCs w:val="24"/>
                      <w:lang w:eastAsia="fr-FR"/>
                    </w:rPr>
                  </w:pPr>
                  <w:r w:rsidRPr="002F3DDE">
                    <w:rPr>
                      <w:rFonts w:ascii="Arial" w:eastAsia="Times New Roman" w:hAnsi="Arial" w:cs="Arial"/>
                      <w:color w:val="000000"/>
                      <w:sz w:val="18"/>
                      <w:szCs w:val="18"/>
                      <w:lang w:eastAsia="fr-FR"/>
                    </w:rPr>
                    <w:t>0,40 mg C/m</w:t>
                  </w:r>
                  <w:r w:rsidRPr="002F3DDE">
                    <w:rPr>
                      <w:rFonts w:ascii="Arial" w:eastAsia="Times New Roman" w:hAnsi="Arial" w:cs="Arial"/>
                      <w:color w:val="000000"/>
                      <w:sz w:val="15"/>
                      <w:szCs w:val="15"/>
                      <w:bdr w:val="none" w:sz="0" w:space="0" w:color="auto" w:frame="1"/>
                      <w:vertAlign w:val="superscript"/>
                      <w:lang w:eastAsia="fr-FR"/>
                    </w:rPr>
                    <w:t>3</w:t>
                  </w:r>
                </w:p>
              </w:tc>
              <w:tc>
                <w:tcPr>
                  <w:tcW w:w="1290" w:type="dxa"/>
                  <w:tcBorders>
                    <w:top w:val="nil"/>
                    <w:left w:val="single" w:sz="8" w:space="0" w:color="111111"/>
                    <w:bottom w:val="single" w:sz="8" w:space="0" w:color="111111"/>
                    <w:right w:val="nil"/>
                  </w:tcBorders>
                  <w:hideMark/>
                </w:tcPr>
                <w:p w14:paraId="078145AD" w14:textId="77777777" w:rsidR="002F3DDE" w:rsidRPr="002F3DDE" w:rsidRDefault="002F3DDE" w:rsidP="002F3DDE">
                  <w:pPr>
                    <w:spacing w:after="0"/>
                    <w:jc w:val="center"/>
                    <w:rPr>
                      <w:rFonts w:eastAsia="Times New Roman" w:cs="Times New Roman"/>
                      <w:szCs w:val="24"/>
                      <w:lang w:eastAsia="fr-FR"/>
                    </w:rPr>
                  </w:pPr>
                  <w:r w:rsidRPr="002F3DDE">
                    <w:rPr>
                      <w:rFonts w:ascii="Arial" w:eastAsia="Times New Roman" w:hAnsi="Arial" w:cs="Arial"/>
                      <w:color w:val="000000"/>
                      <w:sz w:val="18"/>
                      <w:szCs w:val="18"/>
                      <w:lang w:eastAsia="fr-FR"/>
                    </w:rPr>
                    <w:t>0,80 mg N/m</w:t>
                  </w:r>
                  <w:r w:rsidRPr="002F3DDE">
                    <w:rPr>
                      <w:rFonts w:ascii="Arial" w:eastAsia="Times New Roman" w:hAnsi="Arial" w:cs="Arial"/>
                      <w:color w:val="000000"/>
                      <w:sz w:val="15"/>
                      <w:szCs w:val="15"/>
                      <w:bdr w:val="none" w:sz="0" w:space="0" w:color="auto" w:frame="1"/>
                      <w:vertAlign w:val="superscript"/>
                      <w:lang w:eastAsia="fr-FR"/>
                    </w:rPr>
                    <w:t>3</w:t>
                  </w:r>
                </w:p>
              </w:tc>
              <w:tc>
                <w:tcPr>
                  <w:tcW w:w="1125" w:type="dxa"/>
                  <w:tcBorders>
                    <w:top w:val="nil"/>
                    <w:left w:val="single" w:sz="8" w:space="0" w:color="111111"/>
                    <w:bottom w:val="single" w:sz="8" w:space="0" w:color="111111"/>
                    <w:right w:val="nil"/>
                  </w:tcBorders>
                  <w:hideMark/>
                </w:tcPr>
                <w:p w14:paraId="055AAF61" w14:textId="77777777" w:rsidR="002F3DDE" w:rsidRPr="002F3DDE" w:rsidRDefault="002F3DDE" w:rsidP="002F3DDE">
                  <w:pPr>
                    <w:spacing w:after="0"/>
                    <w:jc w:val="center"/>
                    <w:rPr>
                      <w:rFonts w:eastAsia="Times New Roman" w:cs="Times New Roman"/>
                      <w:szCs w:val="24"/>
                      <w:lang w:eastAsia="fr-FR"/>
                    </w:rPr>
                  </w:pPr>
                  <w:r w:rsidRPr="002F3DDE">
                    <w:rPr>
                      <w:rFonts w:ascii="Arial" w:eastAsia="Times New Roman" w:hAnsi="Arial" w:cs="Arial"/>
                      <w:color w:val="000000"/>
                      <w:sz w:val="18"/>
                      <w:szCs w:val="18"/>
                      <w:lang w:eastAsia="fr-FR"/>
                    </w:rPr>
                    <w:t>95% du temps</w:t>
                  </w:r>
                </w:p>
              </w:tc>
              <w:tc>
                <w:tcPr>
                  <w:tcW w:w="1485" w:type="dxa"/>
                  <w:tcBorders>
                    <w:top w:val="nil"/>
                    <w:left w:val="single" w:sz="8" w:space="0" w:color="111111"/>
                    <w:bottom w:val="single" w:sz="8" w:space="0" w:color="111111"/>
                    <w:right w:val="nil"/>
                  </w:tcBorders>
                  <w:hideMark/>
                </w:tcPr>
                <w:p w14:paraId="0306D231" w14:textId="77777777" w:rsidR="002F3DDE" w:rsidRPr="002F3DDE" w:rsidRDefault="002F3DDE" w:rsidP="002F3DDE">
                  <w:pPr>
                    <w:spacing w:after="0"/>
                    <w:jc w:val="center"/>
                    <w:rPr>
                      <w:rFonts w:eastAsia="Times New Roman" w:cs="Times New Roman"/>
                      <w:szCs w:val="24"/>
                      <w:lang w:eastAsia="fr-FR"/>
                    </w:rPr>
                  </w:pPr>
                  <w:r w:rsidRPr="002F3DDE">
                    <w:rPr>
                      <w:rFonts w:ascii="Arial" w:eastAsia="Times New Roman" w:hAnsi="Arial" w:cs="Arial"/>
                      <w:color w:val="000000"/>
                      <w:sz w:val="18"/>
                      <w:szCs w:val="18"/>
                      <w:lang w:eastAsia="fr-FR"/>
                    </w:rPr>
                    <w:t>Analyses externalisées</w:t>
                  </w:r>
                </w:p>
              </w:tc>
              <w:tc>
                <w:tcPr>
                  <w:tcW w:w="930" w:type="dxa"/>
                  <w:tcBorders>
                    <w:top w:val="nil"/>
                    <w:left w:val="single" w:sz="8" w:space="0" w:color="111111"/>
                    <w:bottom w:val="single" w:sz="8" w:space="0" w:color="111111"/>
                    <w:right w:val="nil"/>
                  </w:tcBorders>
                  <w:hideMark/>
                </w:tcPr>
                <w:p w14:paraId="37BA4CE3" w14:textId="77777777" w:rsidR="002F3DDE" w:rsidRPr="002F3DDE" w:rsidRDefault="002F3DDE" w:rsidP="002F3DDE">
                  <w:pPr>
                    <w:spacing w:after="0"/>
                    <w:jc w:val="center"/>
                    <w:rPr>
                      <w:rFonts w:eastAsia="Times New Roman" w:cs="Times New Roman"/>
                      <w:szCs w:val="24"/>
                      <w:lang w:eastAsia="fr-FR"/>
                    </w:rPr>
                  </w:pPr>
                  <w:r w:rsidRPr="002F3DDE">
                    <w:rPr>
                      <w:rFonts w:ascii="Arial" w:eastAsia="Times New Roman" w:hAnsi="Arial" w:cs="Arial"/>
                      <w:b/>
                      <w:bCs/>
                      <w:color w:val="000000"/>
                      <w:sz w:val="18"/>
                      <w:szCs w:val="18"/>
                      <w:bdr w:val="none" w:sz="0" w:space="0" w:color="auto" w:frame="1"/>
                      <w:lang w:eastAsia="fr-FR"/>
                    </w:rPr>
                    <w:t>92%</w:t>
                  </w:r>
                </w:p>
              </w:tc>
              <w:tc>
                <w:tcPr>
                  <w:tcW w:w="1875" w:type="dxa"/>
                  <w:tcBorders>
                    <w:top w:val="nil"/>
                    <w:left w:val="single" w:sz="8" w:space="0" w:color="111111"/>
                    <w:bottom w:val="single" w:sz="8" w:space="0" w:color="111111"/>
                    <w:right w:val="single" w:sz="8" w:space="0" w:color="111111"/>
                  </w:tcBorders>
                  <w:hideMark/>
                </w:tcPr>
                <w:p w14:paraId="012464F5" w14:textId="77777777" w:rsidR="002F3DDE" w:rsidRPr="002F3DDE" w:rsidRDefault="002F3DDE" w:rsidP="002F3DDE">
                  <w:pPr>
                    <w:spacing w:after="0"/>
                    <w:jc w:val="center"/>
                    <w:rPr>
                      <w:rFonts w:eastAsia="Times New Roman" w:cs="Times New Roman"/>
                      <w:szCs w:val="24"/>
                      <w:lang w:eastAsia="fr-FR"/>
                    </w:rPr>
                  </w:pPr>
                  <w:r w:rsidRPr="002F3DDE">
                    <w:rPr>
                      <w:rFonts w:ascii="Arial" w:eastAsia="Times New Roman" w:hAnsi="Arial" w:cs="Arial"/>
                      <w:color w:val="000000"/>
                      <w:sz w:val="18"/>
                      <w:szCs w:val="18"/>
                      <w:lang w:eastAsia="fr-FR"/>
                    </w:rPr>
                    <w:t>1 mesure sur 13 au seuil de 0,4</w:t>
                  </w:r>
                </w:p>
              </w:tc>
            </w:tr>
            <w:tr w:rsidR="002F3DDE" w:rsidRPr="002F3DDE" w14:paraId="10ABA526" w14:textId="77777777" w:rsidTr="002F3DDE">
              <w:trPr>
                <w:tblCellSpacing w:w="0" w:type="dxa"/>
              </w:trPr>
              <w:tc>
                <w:tcPr>
                  <w:tcW w:w="1470" w:type="dxa"/>
                  <w:tcBorders>
                    <w:top w:val="nil"/>
                    <w:left w:val="single" w:sz="8" w:space="0" w:color="111111"/>
                    <w:bottom w:val="single" w:sz="8" w:space="0" w:color="111111"/>
                    <w:right w:val="nil"/>
                  </w:tcBorders>
                  <w:hideMark/>
                </w:tcPr>
                <w:p w14:paraId="2F04BF94" w14:textId="77777777" w:rsidR="002F3DDE" w:rsidRPr="002F3DDE" w:rsidRDefault="002F3DDE" w:rsidP="002F3DDE">
                  <w:pPr>
                    <w:spacing w:after="0"/>
                    <w:jc w:val="both"/>
                    <w:rPr>
                      <w:rFonts w:eastAsia="Times New Roman" w:cs="Times New Roman"/>
                      <w:szCs w:val="24"/>
                      <w:lang w:eastAsia="fr-FR"/>
                    </w:rPr>
                  </w:pPr>
                  <w:r w:rsidRPr="002F3DDE">
                    <w:rPr>
                      <w:rFonts w:ascii="Arial" w:eastAsia="Times New Roman" w:hAnsi="Arial" w:cs="Arial"/>
                      <w:b/>
                      <w:bCs/>
                      <w:color w:val="000000"/>
                      <w:sz w:val="18"/>
                      <w:szCs w:val="18"/>
                      <w:bdr w:val="none" w:sz="0" w:space="0" w:color="auto" w:frame="1"/>
                      <w:lang w:eastAsia="fr-FR"/>
                    </w:rPr>
                    <w:t>Chlore</w:t>
                  </w:r>
                </w:p>
              </w:tc>
              <w:tc>
                <w:tcPr>
                  <w:tcW w:w="1425" w:type="dxa"/>
                  <w:tcBorders>
                    <w:top w:val="nil"/>
                    <w:left w:val="single" w:sz="8" w:space="0" w:color="111111"/>
                    <w:bottom w:val="single" w:sz="8" w:space="0" w:color="111111"/>
                    <w:right w:val="nil"/>
                  </w:tcBorders>
                  <w:hideMark/>
                </w:tcPr>
                <w:p w14:paraId="64364D61" w14:textId="77777777" w:rsidR="002F3DDE" w:rsidRPr="002F3DDE" w:rsidRDefault="002F3DDE" w:rsidP="002F3DDE">
                  <w:pPr>
                    <w:spacing w:after="0"/>
                    <w:jc w:val="center"/>
                    <w:rPr>
                      <w:rFonts w:eastAsia="Times New Roman" w:cs="Times New Roman"/>
                      <w:szCs w:val="24"/>
                      <w:lang w:eastAsia="fr-FR"/>
                    </w:rPr>
                  </w:pPr>
                  <w:r w:rsidRPr="002F3DDE">
                    <w:rPr>
                      <w:rFonts w:ascii="Arial" w:eastAsia="Times New Roman" w:hAnsi="Arial" w:cs="Arial"/>
                      <w:color w:val="000000"/>
                      <w:sz w:val="18"/>
                      <w:szCs w:val="18"/>
                      <w:lang w:eastAsia="fr-FR"/>
                    </w:rPr>
                    <w:t>0,5 mg Cl/Nm</w:t>
                  </w:r>
                  <w:r w:rsidRPr="002F3DDE">
                    <w:rPr>
                      <w:rFonts w:ascii="Arial" w:eastAsia="Times New Roman" w:hAnsi="Arial" w:cs="Arial"/>
                      <w:color w:val="000000"/>
                      <w:sz w:val="15"/>
                      <w:szCs w:val="15"/>
                      <w:bdr w:val="none" w:sz="0" w:space="0" w:color="auto" w:frame="1"/>
                      <w:vertAlign w:val="superscript"/>
                      <w:lang w:eastAsia="fr-FR"/>
                    </w:rPr>
                    <w:t>3</w:t>
                  </w:r>
                </w:p>
              </w:tc>
              <w:tc>
                <w:tcPr>
                  <w:tcW w:w="1290" w:type="dxa"/>
                  <w:tcBorders>
                    <w:top w:val="nil"/>
                    <w:left w:val="single" w:sz="8" w:space="0" w:color="111111"/>
                    <w:bottom w:val="single" w:sz="8" w:space="0" w:color="111111"/>
                    <w:right w:val="nil"/>
                  </w:tcBorders>
                  <w:hideMark/>
                </w:tcPr>
                <w:p w14:paraId="1243806C" w14:textId="77777777" w:rsidR="002F3DDE" w:rsidRPr="002F3DDE" w:rsidRDefault="002F3DDE" w:rsidP="002F3DDE">
                  <w:pPr>
                    <w:spacing w:after="0"/>
                    <w:jc w:val="center"/>
                    <w:rPr>
                      <w:rFonts w:eastAsia="Times New Roman" w:cs="Times New Roman"/>
                      <w:szCs w:val="24"/>
                      <w:lang w:eastAsia="fr-FR"/>
                    </w:rPr>
                  </w:pPr>
                  <w:r w:rsidRPr="002F3DDE">
                    <w:rPr>
                      <w:rFonts w:ascii="Arial" w:eastAsia="Times New Roman" w:hAnsi="Arial" w:cs="Arial"/>
                      <w:color w:val="000000"/>
                      <w:sz w:val="18"/>
                      <w:szCs w:val="18"/>
                      <w:lang w:eastAsia="fr-FR"/>
                    </w:rPr>
                    <w:t>1 mg Cl N/m</w:t>
                  </w:r>
                  <w:r w:rsidRPr="002F3DDE">
                    <w:rPr>
                      <w:rFonts w:ascii="Arial" w:eastAsia="Times New Roman" w:hAnsi="Arial" w:cs="Arial"/>
                      <w:color w:val="000000"/>
                      <w:sz w:val="15"/>
                      <w:szCs w:val="15"/>
                      <w:bdr w:val="none" w:sz="0" w:space="0" w:color="auto" w:frame="1"/>
                      <w:vertAlign w:val="superscript"/>
                      <w:lang w:eastAsia="fr-FR"/>
                    </w:rPr>
                    <w:t>3</w:t>
                  </w:r>
                </w:p>
              </w:tc>
              <w:tc>
                <w:tcPr>
                  <w:tcW w:w="1125" w:type="dxa"/>
                  <w:tcBorders>
                    <w:top w:val="nil"/>
                    <w:left w:val="single" w:sz="8" w:space="0" w:color="111111"/>
                    <w:bottom w:val="single" w:sz="8" w:space="0" w:color="111111"/>
                    <w:right w:val="nil"/>
                  </w:tcBorders>
                  <w:hideMark/>
                </w:tcPr>
                <w:p w14:paraId="42A25E37" w14:textId="77777777" w:rsidR="002F3DDE" w:rsidRPr="002F3DDE" w:rsidRDefault="002F3DDE" w:rsidP="002F3DDE">
                  <w:pPr>
                    <w:spacing w:after="0"/>
                    <w:jc w:val="center"/>
                    <w:rPr>
                      <w:rFonts w:eastAsia="Times New Roman" w:cs="Times New Roman"/>
                      <w:szCs w:val="24"/>
                      <w:lang w:eastAsia="fr-FR"/>
                    </w:rPr>
                  </w:pPr>
                  <w:r w:rsidRPr="002F3DDE">
                    <w:rPr>
                      <w:rFonts w:ascii="Arial" w:eastAsia="Times New Roman" w:hAnsi="Arial" w:cs="Arial"/>
                      <w:color w:val="000000"/>
                      <w:sz w:val="18"/>
                      <w:szCs w:val="18"/>
                      <w:lang w:eastAsia="fr-FR"/>
                    </w:rPr>
                    <w:t>95% du temps</w:t>
                  </w:r>
                </w:p>
              </w:tc>
              <w:tc>
                <w:tcPr>
                  <w:tcW w:w="1485" w:type="dxa"/>
                  <w:tcBorders>
                    <w:top w:val="nil"/>
                    <w:left w:val="single" w:sz="8" w:space="0" w:color="111111"/>
                    <w:bottom w:val="single" w:sz="8" w:space="0" w:color="111111"/>
                    <w:right w:val="nil"/>
                  </w:tcBorders>
                  <w:hideMark/>
                </w:tcPr>
                <w:p w14:paraId="6A05398C" w14:textId="77777777" w:rsidR="002F3DDE" w:rsidRPr="002F3DDE" w:rsidRDefault="002F3DDE" w:rsidP="002F3DDE">
                  <w:pPr>
                    <w:spacing w:after="0"/>
                    <w:jc w:val="center"/>
                    <w:rPr>
                      <w:rFonts w:eastAsia="Times New Roman" w:cs="Times New Roman"/>
                      <w:szCs w:val="24"/>
                      <w:lang w:eastAsia="fr-FR"/>
                    </w:rPr>
                  </w:pPr>
                  <w:r w:rsidRPr="002F3DDE">
                    <w:rPr>
                      <w:rFonts w:ascii="Arial" w:eastAsia="Times New Roman" w:hAnsi="Arial" w:cs="Arial"/>
                      <w:color w:val="000000"/>
                      <w:sz w:val="18"/>
                      <w:szCs w:val="18"/>
                      <w:lang w:eastAsia="fr-FR"/>
                    </w:rPr>
                    <w:t>Analyse en continu</w:t>
                  </w:r>
                </w:p>
              </w:tc>
              <w:tc>
                <w:tcPr>
                  <w:tcW w:w="930" w:type="dxa"/>
                  <w:tcBorders>
                    <w:top w:val="nil"/>
                    <w:left w:val="single" w:sz="8" w:space="0" w:color="111111"/>
                    <w:bottom w:val="single" w:sz="8" w:space="0" w:color="111111"/>
                    <w:right w:val="nil"/>
                  </w:tcBorders>
                  <w:hideMark/>
                </w:tcPr>
                <w:p w14:paraId="657D9A55" w14:textId="77777777" w:rsidR="002F3DDE" w:rsidRPr="002F3DDE" w:rsidRDefault="002F3DDE" w:rsidP="002F3DDE">
                  <w:pPr>
                    <w:spacing w:after="0"/>
                    <w:jc w:val="center"/>
                    <w:rPr>
                      <w:rFonts w:eastAsia="Times New Roman" w:cs="Times New Roman"/>
                      <w:szCs w:val="24"/>
                      <w:lang w:eastAsia="fr-FR"/>
                    </w:rPr>
                  </w:pPr>
                  <w:r w:rsidRPr="002F3DDE">
                    <w:rPr>
                      <w:rFonts w:ascii="Arial" w:eastAsia="Times New Roman" w:hAnsi="Arial" w:cs="Arial"/>
                      <w:b/>
                      <w:bCs/>
                      <w:color w:val="000000"/>
                      <w:sz w:val="18"/>
                      <w:szCs w:val="18"/>
                      <w:bdr w:val="none" w:sz="0" w:space="0" w:color="auto" w:frame="1"/>
                      <w:lang w:eastAsia="fr-FR"/>
                    </w:rPr>
                    <w:t>99%</w:t>
                  </w:r>
                </w:p>
              </w:tc>
              <w:tc>
                <w:tcPr>
                  <w:tcW w:w="1875" w:type="dxa"/>
                  <w:tcBorders>
                    <w:top w:val="nil"/>
                    <w:left w:val="single" w:sz="8" w:space="0" w:color="111111"/>
                    <w:bottom w:val="single" w:sz="8" w:space="0" w:color="111111"/>
                    <w:right w:val="single" w:sz="8" w:space="0" w:color="111111"/>
                  </w:tcBorders>
                  <w:hideMark/>
                </w:tcPr>
                <w:p w14:paraId="1E968CFE" w14:textId="77777777" w:rsidR="002F3DDE" w:rsidRPr="002F3DDE" w:rsidRDefault="002F3DDE" w:rsidP="002F3DDE">
                  <w:pPr>
                    <w:spacing w:after="0"/>
                    <w:jc w:val="center"/>
                    <w:rPr>
                      <w:rFonts w:eastAsia="Times New Roman" w:cs="Times New Roman"/>
                      <w:szCs w:val="24"/>
                      <w:lang w:eastAsia="fr-FR"/>
                    </w:rPr>
                  </w:pPr>
                </w:p>
              </w:tc>
            </w:tr>
            <w:tr w:rsidR="002F3DDE" w:rsidRPr="002F3DDE" w14:paraId="3931B166" w14:textId="77777777" w:rsidTr="002F3DDE">
              <w:trPr>
                <w:tblCellSpacing w:w="0" w:type="dxa"/>
              </w:trPr>
              <w:tc>
                <w:tcPr>
                  <w:tcW w:w="1470" w:type="dxa"/>
                  <w:tcBorders>
                    <w:top w:val="nil"/>
                    <w:left w:val="single" w:sz="8" w:space="0" w:color="111111"/>
                    <w:bottom w:val="single" w:sz="8" w:space="0" w:color="111111"/>
                    <w:right w:val="nil"/>
                  </w:tcBorders>
                  <w:hideMark/>
                </w:tcPr>
                <w:p w14:paraId="23EB511D" w14:textId="77777777" w:rsidR="002F3DDE" w:rsidRPr="002F3DDE" w:rsidRDefault="002F3DDE" w:rsidP="002F3DDE">
                  <w:pPr>
                    <w:spacing w:after="0"/>
                    <w:jc w:val="both"/>
                    <w:rPr>
                      <w:rFonts w:eastAsia="Times New Roman" w:cs="Times New Roman"/>
                      <w:szCs w:val="24"/>
                      <w:lang w:eastAsia="fr-FR"/>
                    </w:rPr>
                  </w:pPr>
                  <w:r w:rsidRPr="002F3DDE">
                    <w:rPr>
                      <w:rFonts w:ascii="Arial" w:eastAsia="Times New Roman" w:hAnsi="Arial" w:cs="Arial"/>
                      <w:b/>
                      <w:bCs/>
                      <w:color w:val="000000"/>
                      <w:sz w:val="18"/>
                      <w:szCs w:val="18"/>
                      <w:bdr w:val="none" w:sz="0" w:space="0" w:color="auto" w:frame="1"/>
                      <w:lang w:eastAsia="fr-FR"/>
                    </w:rPr>
                    <w:t>Total</w:t>
                  </w:r>
                </w:p>
              </w:tc>
              <w:tc>
                <w:tcPr>
                  <w:tcW w:w="1425" w:type="dxa"/>
                  <w:tcBorders>
                    <w:top w:val="nil"/>
                    <w:left w:val="single" w:sz="8" w:space="0" w:color="111111"/>
                    <w:bottom w:val="single" w:sz="8" w:space="0" w:color="111111"/>
                    <w:right w:val="nil"/>
                  </w:tcBorders>
                  <w:hideMark/>
                </w:tcPr>
                <w:p w14:paraId="159382C1" w14:textId="77777777" w:rsidR="002F3DDE" w:rsidRPr="002F3DDE" w:rsidRDefault="002F3DDE" w:rsidP="002F3DDE">
                  <w:pPr>
                    <w:spacing w:after="0"/>
                    <w:jc w:val="center"/>
                    <w:rPr>
                      <w:rFonts w:eastAsia="Times New Roman" w:cs="Times New Roman"/>
                      <w:szCs w:val="24"/>
                      <w:lang w:eastAsia="fr-FR"/>
                    </w:rPr>
                  </w:pPr>
                </w:p>
              </w:tc>
              <w:tc>
                <w:tcPr>
                  <w:tcW w:w="1290" w:type="dxa"/>
                  <w:tcBorders>
                    <w:top w:val="nil"/>
                    <w:left w:val="single" w:sz="8" w:space="0" w:color="111111"/>
                    <w:bottom w:val="single" w:sz="8" w:space="0" w:color="111111"/>
                    <w:right w:val="nil"/>
                  </w:tcBorders>
                  <w:hideMark/>
                </w:tcPr>
                <w:p w14:paraId="570BE8F3" w14:textId="77777777" w:rsidR="002F3DDE" w:rsidRPr="002F3DDE" w:rsidRDefault="002F3DDE" w:rsidP="002F3DDE">
                  <w:pPr>
                    <w:spacing w:after="0"/>
                    <w:jc w:val="center"/>
                    <w:rPr>
                      <w:rFonts w:eastAsia="Times New Roman" w:cs="Times New Roman"/>
                      <w:szCs w:val="24"/>
                      <w:lang w:eastAsia="fr-FR"/>
                    </w:rPr>
                  </w:pPr>
                </w:p>
              </w:tc>
              <w:tc>
                <w:tcPr>
                  <w:tcW w:w="1125" w:type="dxa"/>
                  <w:tcBorders>
                    <w:top w:val="nil"/>
                    <w:left w:val="single" w:sz="8" w:space="0" w:color="111111"/>
                    <w:bottom w:val="single" w:sz="8" w:space="0" w:color="111111"/>
                    <w:right w:val="nil"/>
                  </w:tcBorders>
                  <w:hideMark/>
                </w:tcPr>
                <w:p w14:paraId="7EF48D03" w14:textId="77777777" w:rsidR="002F3DDE" w:rsidRPr="002F3DDE" w:rsidRDefault="002F3DDE" w:rsidP="002F3DDE">
                  <w:pPr>
                    <w:spacing w:after="0"/>
                    <w:jc w:val="center"/>
                    <w:rPr>
                      <w:rFonts w:eastAsia="Times New Roman" w:cs="Times New Roman"/>
                      <w:szCs w:val="24"/>
                      <w:lang w:eastAsia="fr-FR"/>
                    </w:rPr>
                  </w:pPr>
                </w:p>
              </w:tc>
              <w:tc>
                <w:tcPr>
                  <w:tcW w:w="1485" w:type="dxa"/>
                  <w:tcBorders>
                    <w:top w:val="nil"/>
                    <w:left w:val="single" w:sz="8" w:space="0" w:color="111111"/>
                    <w:bottom w:val="single" w:sz="8" w:space="0" w:color="111111"/>
                    <w:right w:val="nil"/>
                  </w:tcBorders>
                  <w:hideMark/>
                </w:tcPr>
                <w:p w14:paraId="06D2AB06" w14:textId="77777777" w:rsidR="002F3DDE" w:rsidRPr="002F3DDE" w:rsidRDefault="002F3DDE" w:rsidP="002F3DDE">
                  <w:pPr>
                    <w:spacing w:after="0"/>
                    <w:jc w:val="center"/>
                    <w:rPr>
                      <w:rFonts w:eastAsia="Times New Roman" w:cs="Times New Roman"/>
                      <w:szCs w:val="24"/>
                      <w:lang w:eastAsia="fr-FR"/>
                    </w:rPr>
                  </w:pPr>
                </w:p>
              </w:tc>
              <w:tc>
                <w:tcPr>
                  <w:tcW w:w="930" w:type="dxa"/>
                  <w:tcBorders>
                    <w:top w:val="nil"/>
                    <w:left w:val="single" w:sz="8" w:space="0" w:color="111111"/>
                    <w:bottom w:val="single" w:sz="8" w:space="0" w:color="111111"/>
                    <w:right w:val="nil"/>
                  </w:tcBorders>
                  <w:hideMark/>
                </w:tcPr>
                <w:p w14:paraId="5AF7AD44" w14:textId="77777777" w:rsidR="002F3DDE" w:rsidRPr="002F3DDE" w:rsidRDefault="002F3DDE" w:rsidP="002F3DDE">
                  <w:pPr>
                    <w:spacing w:after="0"/>
                    <w:jc w:val="center"/>
                    <w:rPr>
                      <w:rFonts w:eastAsia="Times New Roman" w:cs="Times New Roman"/>
                      <w:szCs w:val="24"/>
                      <w:lang w:eastAsia="fr-FR"/>
                    </w:rPr>
                  </w:pPr>
                  <w:r w:rsidRPr="002F3DDE">
                    <w:rPr>
                      <w:rFonts w:ascii="Arial" w:eastAsia="Times New Roman" w:hAnsi="Arial" w:cs="Arial"/>
                      <w:b/>
                      <w:bCs/>
                      <w:color w:val="000000"/>
                      <w:sz w:val="18"/>
                      <w:szCs w:val="18"/>
                      <w:bdr w:val="none" w:sz="0" w:space="0" w:color="auto" w:frame="1"/>
                      <w:lang w:eastAsia="fr-FR"/>
                    </w:rPr>
                    <w:t>92,7%</w:t>
                  </w:r>
                </w:p>
              </w:tc>
              <w:tc>
                <w:tcPr>
                  <w:tcW w:w="1875" w:type="dxa"/>
                  <w:tcBorders>
                    <w:top w:val="nil"/>
                    <w:left w:val="single" w:sz="8" w:space="0" w:color="111111"/>
                    <w:bottom w:val="single" w:sz="8" w:space="0" w:color="111111"/>
                    <w:right w:val="single" w:sz="8" w:space="0" w:color="111111"/>
                  </w:tcBorders>
                  <w:hideMark/>
                </w:tcPr>
                <w:p w14:paraId="6ABEEA5C" w14:textId="77777777" w:rsidR="002F3DDE" w:rsidRPr="002F3DDE" w:rsidRDefault="002F3DDE" w:rsidP="002F3DDE">
                  <w:pPr>
                    <w:spacing w:after="0"/>
                    <w:jc w:val="center"/>
                    <w:rPr>
                      <w:rFonts w:eastAsia="Times New Roman" w:cs="Times New Roman"/>
                      <w:szCs w:val="24"/>
                      <w:lang w:eastAsia="fr-FR"/>
                    </w:rPr>
                  </w:pPr>
                </w:p>
              </w:tc>
            </w:tr>
          </w:tbl>
          <w:p w14:paraId="426F7810" w14:textId="77777777" w:rsidR="002F3DDE" w:rsidRDefault="002F3DDE" w:rsidP="002F3DDE">
            <w:pPr>
              <w:spacing w:after="0" w:line="312" w:lineRule="atLeast"/>
              <w:rPr>
                <w:rFonts w:ascii="Arial" w:eastAsia="Times New Roman" w:hAnsi="Arial" w:cs="Arial"/>
                <w:color w:val="000000"/>
                <w:sz w:val="20"/>
                <w:szCs w:val="20"/>
                <w:lang w:eastAsia="fr-FR"/>
              </w:rPr>
            </w:pPr>
            <w:r w:rsidRPr="002F3DDE">
              <w:rPr>
                <w:rFonts w:ascii="Arial" w:eastAsia="Times New Roman" w:hAnsi="Arial" w:cs="Arial"/>
                <w:color w:val="000000"/>
                <w:sz w:val="20"/>
                <w:szCs w:val="20"/>
                <w:lang w:eastAsia="fr-FR"/>
              </w:rPr>
              <w:t>*Une rupture d’approvisionnement en acide sulfurique en juillet 2019 a eu des répercussions sur la performance de traitement des composés azotés et soufrés.</w:t>
            </w:r>
            <w:r w:rsidRPr="002F3DDE">
              <w:rPr>
                <w:rFonts w:ascii="Arial" w:eastAsia="Times New Roman" w:hAnsi="Arial" w:cs="Arial"/>
                <w:color w:val="000000"/>
                <w:sz w:val="20"/>
                <w:szCs w:val="20"/>
                <w:lang w:eastAsia="fr-FR"/>
              </w:rPr>
              <w:br/>
              <w:t>Ce problème a été résolu depuis par le SIAAP.</w:t>
            </w:r>
          </w:p>
          <w:p w14:paraId="495DC7C4" w14:textId="77777777" w:rsidR="002F3DDE" w:rsidRPr="002F3DDE" w:rsidRDefault="002F3DDE" w:rsidP="002F3DDE">
            <w:pPr>
              <w:pStyle w:val="Sansinterligne"/>
              <w:rPr>
                <w:lang w:eastAsia="fr-FR"/>
              </w:rPr>
            </w:pPr>
          </w:p>
          <w:p w14:paraId="2DC58EC2" w14:textId="77777777" w:rsidR="002F3DDE" w:rsidRPr="002F3DDE" w:rsidRDefault="002F3DDE" w:rsidP="002F3DDE">
            <w:pPr>
              <w:spacing w:after="0" w:line="312" w:lineRule="atLeast"/>
              <w:jc w:val="both"/>
              <w:rPr>
                <w:rFonts w:eastAsia="Times New Roman" w:cs="Times New Roman"/>
                <w:szCs w:val="24"/>
                <w:lang w:eastAsia="fr-FR"/>
              </w:rPr>
            </w:pPr>
            <w:r w:rsidRPr="002F3DDE">
              <w:rPr>
                <w:rFonts w:ascii="Arial" w:eastAsia="Times New Roman" w:hAnsi="Arial" w:cs="Arial"/>
                <w:b/>
                <w:bCs/>
                <w:color w:val="000000"/>
                <w:sz w:val="20"/>
                <w:szCs w:val="20"/>
                <w:u w:val="single"/>
                <w:bdr w:val="none" w:sz="0" w:space="0" w:color="auto" w:frame="1"/>
                <w:lang w:eastAsia="fr-FR"/>
              </w:rPr>
              <w:lastRenderedPageBreak/>
              <w:t>La perception d’odeurs autour du site des Grésillons  :</w:t>
            </w:r>
          </w:p>
          <w:p w14:paraId="0F02792D" w14:textId="77777777" w:rsidR="002F3DDE" w:rsidRPr="002F3DDE" w:rsidRDefault="002F3DDE" w:rsidP="002F3DDE">
            <w:pPr>
              <w:spacing w:after="0" w:line="312" w:lineRule="atLeast"/>
              <w:jc w:val="both"/>
              <w:rPr>
                <w:rFonts w:eastAsia="Times New Roman" w:cs="Times New Roman"/>
                <w:szCs w:val="24"/>
                <w:lang w:eastAsia="fr-FR"/>
              </w:rPr>
            </w:pPr>
            <w:r w:rsidRPr="002F3DDE">
              <w:rPr>
                <w:rFonts w:ascii="Arial" w:eastAsia="Times New Roman" w:hAnsi="Arial" w:cs="Arial"/>
                <w:color w:val="000000"/>
                <w:sz w:val="20"/>
                <w:szCs w:val="20"/>
                <w:lang w:eastAsia="fr-FR"/>
              </w:rPr>
              <w:t>En cas de signalement d’odeurs, une analyse de la situation au moment du signalement est réalisée par le SIAAP afin d’identifier la source, et le cas échéant de prendre des mesures correctives.</w:t>
            </w:r>
          </w:p>
          <w:p w14:paraId="6CEF7EDF" w14:textId="77777777" w:rsidR="002F3DDE" w:rsidRPr="002F3DDE" w:rsidRDefault="002F3DDE" w:rsidP="002F3DDE">
            <w:pPr>
              <w:spacing w:after="0" w:line="312" w:lineRule="atLeast"/>
              <w:jc w:val="both"/>
              <w:rPr>
                <w:rFonts w:eastAsia="Times New Roman" w:cs="Times New Roman"/>
                <w:szCs w:val="24"/>
                <w:lang w:eastAsia="fr-FR"/>
              </w:rPr>
            </w:pPr>
            <w:r w:rsidRPr="002F3DDE">
              <w:rPr>
                <w:rFonts w:ascii="Arial" w:eastAsia="Times New Roman" w:hAnsi="Arial" w:cs="Arial"/>
                <w:color w:val="000000"/>
                <w:sz w:val="20"/>
                <w:szCs w:val="20"/>
                <w:lang w:eastAsia="fr-FR"/>
              </w:rPr>
              <w:t>En 2019, le SIAAP a comptabilisé 24 signalements, qui ont entraîné plusieurs actions :</w:t>
            </w:r>
          </w:p>
          <w:p w14:paraId="3AE334D0" w14:textId="77777777" w:rsidR="002F3DDE" w:rsidRPr="002F3DDE" w:rsidRDefault="002F3DDE" w:rsidP="002F3DDE">
            <w:pPr>
              <w:numPr>
                <w:ilvl w:val="0"/>
                <w:numId w:val="1"/>
              </w:numPr>
              <w:spacing w:after="159" w:line="189" w:lineRule="atLeast"/>
              <w:ind w:left="600"/>
              <w:jc w:val="both"/>
              <w:rPr>
                <w:rFonts w:eastAsia="Times New Roman" w:cs="Times New Roman"/>
                <w:szCs w:val="24"/>
                <w:lang w:eastAsia="fr-FR"/>
              </w:rPr>
            </w:pPr>
            <w:r w:rsidRPr="002F3DDE">
              <w:rPr>
                <w:rFonts w:ascii="Arial" w:eastAsia="Times New Roman" w:hAnsi="Arial" w:cs="Arial"/>
                <w:color w:val="000000"/>
                <w:sz w:val="20"/>
                <w:szCs w:val="20"/>
                <w:lang w:eastAsia="fr-FR"/>
              </w:rPr>
              <w:t>une étude aéraulique : elle a été menée début 2020 et a conduit à des réparations sur les réseaux d’extraction et les registres, et à modifier le fonctionnement des stockeurs de boues; ce qui a contribué à réduire les émissions olfactives du site ;</w:t>
            </w:r>
          </w:p>
          <w:p w14:paraId="396DD685" w14:textId="77777777" w:rsidR="002F3DDE" w:rsidRPr="002F3DDE" w:rsidRDefault="002F3DDE" w:rsidP="002F3DDE">
            <w:pPr>
              <w:numPr>
                <w:ilvl w:val="0"/>
                <w:numId w:val="1"/>
              </w:numPr>
              <w:spacing w:after="159" w:line="189" w:lineRule="atLeast"/>
              <w:ind w:left="600"/>
              <w:jc w:val="both"/>
              <w:rPr>
                <w:rFonts w:eastAsia="Times New Roman" w:cs="Times New Roman"/>
                <w:szCs w:val="24"/>
                <w:lang w:eastAsia="fr-FR"/>
              </w:rPr>
            </w:pPr>
            <w:r w:rsidRPr="002F3DDE">
              <w:rPr>
                <w:rFonts w:ascii="Arial" w:eastAsia="Times New Roman" w:hAnsi="Arial" w:cs="Arial"/>
                <w:color w:val="000000"/>
                <w:sz w:val="20"/>
                <w:szCs w:val="20"/>
                <w:lang w:eastAsia="fr-FR"/>
              </w:rPr>
              <w:t>la direction de l’Environnement du SIAAP a également mené des campagnes de mesures de NH3 sur les couvertures des stockeurs de boues. Cette action a permis au SIAAP de mieux comprendre les phénomènes d’émission d’odeurs ;</w:t>
            </w:r>
          </w:p>
          <w:p w14:paraId="45CB86AE" w14:textId="77777777" w:rsidR="002F3DDE" w:rsidRPr="002F3DDE" w:rsidRDefault="002F3DDE" w:rsidP="002F3DDE">
            <w:pPr>
              <w:numPr>
                <w:ilvl w:val="0"/>
                <w:numId w:val="1"/>
              </w:numPr>
              <w:spacing w:after="159" w:line="189" w:lineRule="atLeast"/>
              <w:ind w:left="600"/>
              <w:jc w:val="both"/>
              <w:rPr>
                <w:rFonts w:eastAsia="Times New Roman" w:cs="Times New Roman"/>
                <w:szCs w:val="24"/>
                <w:lang w:eastAsia="fr-FR"/>
              </w:rPr>
            </w:pPr>
            <w:r w:rsidRPr="002F3DDE">
              <w:rPr>
                <w:rFonts w:ascii="Arial" w:eastAsia="Times New Roman" w:hAnsi="Arial" w:cs="Arial"/>
                <w:color w:val="000000"/>
                <w:sz w:val="20"/>
                <w:szCs w:val="20"/>
                <w:lang w:eastAsia="fr-FR"/>
              </w:rPr>
              <w:t>les émissions de biogaz odorant au niveau des digesteurs vont bientôt être limitées suite au remplacement prochain des soupapes au niveau de ces ouvrages ;</w:t>
            </w:r>
          </w:p>
          <w:p w14:paraId="2BFA9D4D" w14:textId="77777777" w:rsidR="002F3DDE" w:rsidRPr="002F3DDE" w:rsidRDefault="002F3DDE" w:rsidP="002F3DDE">
            <w:pPr>
              <w:numPr>
                <w:ilvl w:val="0"/>
                <w:numId w:val="1"/>
              </w:numPr>
              <w:spacing w:after="159" w:line="189" w:lineRule="atLeast"/>
              <w:ind w:left="600"/>
              <w:jc w:val="both"/>
              <w:rPr>
                <w:rFonts w:eastAsia="Times New Roman" w:cs="Times New Roman"/>
                <w:szCs w:val="24"/>
                <w:lang w:eastAsia="fr-FR"/>
              </w:rPr>
            </w:pPr>
            <w:r w:rsidRPr="002F3DDE">
              <w:rPr>
                <w:rFonts w:ascii="Arial" w:eastAsia="Times New Roman" w:hAnsi="Arial" w:cs="Arial"/>
                <w:color w:val="000000"/>
                <w:sz w:val="20"/>
                <w:szCs w:val="20"/>
                <w:lang w:eastAsia="fr-FR"/>
              </w:rPr>
              <w:t>une étude sur le fonctionnement des unités de désodorisation pour les optimiser est en cours ;</w:t>
            </w:r>
          </w:p>
          <w:p w14:paraId="48714F84" w14:textId="77777777" w:rsidR="002F3DDE" w:rsidRPr="002F3DDE" w:rsidRDefault="002F3DDE" w:rsidP="002F3DDE">
            <w:pPr>
              <w:numPr>
                <w:ilvl w:val="0"/>
                <w:numId w:val="1"/>
              </w:numPr>
              <w:spacing w:after="159" w:line="189" w:lineRule="atLeast"/>
              <w:ind w:left="600"/>
              <w:jc w:val="both"/>
              <w:rPr>
                <w:rFonts w:eastAsia="Times New Roman" w:cs="Times New Roman"/>
                <w:szCs w:val="24"/>
                <w:lang w:eastAsia="fr-FR"/>
              </w:rPr>
            </w:pPr>
            <w:r w:rsidRPr="002F3DDE">
              <w:rPr>
                <w:rFonts w:ascii="Arial" w:eastAsia="Times New Roman" w:hAnsi="Arial" w:cs="Arial"/>
                <w:color w:val="000000"/>
                <w:sz w:val="20"/>
                <w:szCs w:val="20"/>
                <w:lang w:eastAsia="fr-FR"/>
              </w:rPr>
              <w:t>l’installation prochaine d’une station météo sur le site permettra d’avoir en temps réel la force et direction des vents, facteurs prépondérants de la dissémination des panaches d’odeurs.</w:t>
            </w:r>
          </w:p>
          <w:p w14:paraId="3E044BCD" w14:textId="77777777" w:rsidR="002F3DDE" w:rsidRPr="002F3DDE" w:rsidRDefault="002F3DDE" w:rsidP="002F3DDE">
            <w:pPr>
              <w:spacing w:after="0" w:line="312" w:lineRule="atLeast"/>
              <w:jc w:val="both"/>
              <w:rPr>
                <w:rFonts w:eastAsia="Times New Roman" w:cs="Times New Roman"/>
                <w:szCs w:val="24"/>
                <w:lang w:eastAsia="fr-FR"/>
              </w:rPr>
            </w:pPr>
            <w:r w:rsidRPr="002F3DDE">
              <w:rPr>
                <w:rFonts w:ascii="Arial" w:eastAsia="Times New Roman" w:hAnsi="Arial" w:cs="Arial"/>
                <w:color w:val="000000"/>
                <w:sz w:val="20"/>
                <w:szCs w:val="20"/>
                <w:lang w:eastAsia="fr-FR"/>
              </w:rPr>
              <w:t>En plus de ces mesures, le messager de l’environnement (« jury de nez » indépendant) effectue 2 fois par semaine des tournées sur le site et son environnement pour relever les perceptions olfactives.</w:t>
            </w:r>
          </w:p>
          <w:p w14:paraId="45DCD0F0" w14:textId="77777777" w:rsidR="002F3DDE" w:rsidRPr="002F3DDE" w:rsidRDefault="002F3DDE" w:rsidP="002F3DDE">
            <w:pPr>
              <w:spacing w:after="0" w:line="312" w:lineRule="atLeast"/>
              <w:jc w:val="both"/>
              <w:rPr>
                <w:rFonts w:eastAsia="Times New Roman" w:cs="Times New Roman"/>
                <w:szCs w:val="24"/>
                <w:lang w:eastAsia="fr-FR"/>
              </w:rPr>
            </w:pPr>
            <w:r w:rsidRPr="002F3DDE">
              <w:rPr>
                <w:rFonts w:ascii="Arial" w:eastAsia="Times New Roman" w:hAnsi="Arial" w:cs="Arial"/>
                <w:color w:val="000000"/>
                <w:sz w:val="20"/>
                <w:szCs w:val="20"/>
                <w:lang w:eastAsia="fr-FR"/>
              </w:rPr>
              <w:t>Les remontées du messager de l’environnement ont mis en évidence ces derniers temps, un net infléchissement des intensités d’odeurs relevées.</w:t>
            </w:r>
          </w:p>
          <w:p w14:paraId="43485C62" w14:textId="77777777" w:rsidR="002F3DDE" w:rsidRDefault="002F3DDE" w:rsidP="002F3DDE">
            <w:pPr>
              <w:spacing w:after="0" w:line="312" w:lineRule="atLeast"/>
              <w:jc w:val="both"/>
              <w:rPr>
                <w:rFonts w:ascii="Arial" w:eastAsia="Times New Roman" w:hAnsi="Arial" w:cs="Arial"/>
                <w:color w:val="000000"/>
                <w:sz w:val="20"/>
                <w:szCs w:val="20"/>
                <w:lang w:eastAsia="fr-FR"/>
              </w:rPr>
            </w:pPr>
            <w:r w:rsidRPr="002F3DDE">
              <w:rPr>
                <w:rFonts w:ascii="Arial" w:eastAsia="Times New Roman" w:hAnsi="Arial" w:cs="Arial"/>
                <w:color w:val="000000"/>
                <w:sz w:val="20"/>
                <w:szCs w:val="20"/>
                <w:lang w:eastAsia="fr-FR"/>
              </w:rPr>
              <w:t>Le site des Grésillons a par ailleurs pris l'engagement de prévenir les communes riveraines en cas d’intervention planifiée potentiellement émissive d’odeurs.</w:t>
            </w:r>
          </w:p>
          <w:p w14:paraId="4A0CE33C" w14:textId="77777777" w:rsidR="002F3DDE" w:rsidRPr="002F3DDE" w:rsidRDefault="002F3DDE" w:rsidP="002F3DDE">
            <w:pPr>
              <w:pStyle w:val="Sansinterligne"/>
              <w:rPr>
                <w:lang w:eastAsia="fr-FR"/>
              </w:rPr>
            </w:pPr>
          </w:p>
          <w:p w14:paraId="6B764125" w14:textId="77777777" w:rsidR="002F3DDE" w:rsidRPr="002F3DDE" w:rsidRDefault="002F3DDE" w:rsidP="002F3DDE">
            <w:pPr>
              <w:spacing w:after="0" w:line="312" w:lineRule="atLeast"/>
              <w:rPr>
                <w:rFonts w:eastAsia="Times New Roman" w:cs="Times New Roman"/>
                <w:szCs w:val="24"/>
                <w:lang w:eastAsia="fr-FR"/>
              </w:rPr>
            </w:pPr>
            <w:r w:rsidRPr="002F3DDE">
              <w:rPr>
                <w:rFonts w:ascii="Arial" w:eastAsia="Times New Roman" w:hAnsi="Arial" w:cs="Arial"/>
                <w:color w:val="000000"/>
                <w:sz w:val="20"/>
                <w:szCs w:val="20"/>
                <w:lang w:eastAsia="fr-FR"/>
              </w:rPr>
              <w:t>Cordialement</w:t>
            </w:r>
          </w:p>
          <w:p w14:paraId="32AE2C2B" w14:textId="77777777" w:rsidR="002F3DDE" w:rsidRPr="002F3DDE" w:rsidRDefault="002F3DDE" w:rsidP="002F3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20"/>
                <w:szCs w:val="20"/>
                <w:lang w:eastAsia="fr-FR"/>
              </w:rPr>
            </w:pPr>
          </w:p>
          <w:p w14:paraId="5EE12DAF" w14:textId="77777777" w:rsidR="002F3DDE" w:rsidRPr="002F3DDE" w:rsidRDefault="002F3DDE" w:rsidP="002F3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20"/>
                <w:szCs w:val="20"/>
                <w:lang w:eastAsia="fr-FR"/>
              </w:rPr>
            </w:pPr>
            <w:r w:rsidRPr="002F3DDE">
              <w:rPr>
                <w:rFonts w:ascii="Courier New" w:eastAsia="Times New Roman" w:hAnsi="Courier New" w:cs="Courier New"/>
                <w:sz w:val="20"/>
                <w:szCs w:val="20"/>
                <w:lang w:eastAsia="fr-FR"/>
              </w:rPr>
              <w:t>Inspecteur de l'environnement</w:t>
            </w:r>
          </w:p>
          <w:p w14:paraId="7FA27806" w14:textId="77777777" w:rsidR="002F3DDE" w:rsidRPr="002F3DDE" w:rsidRDefault="002F3DDE" w:rsidP="002F3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20"/>
                <w:szCs w:val="20"/>
                <w:lang w:eastAsia="fr-FR"/>
              </w:rPr>
            </w:pPr>
            <w:r w:rsidRPr="002F3DDE">
              <w:rPr>
                <w:rFonts w:ascii="Courier New" w:eastAsia="Times New Roman" w:hAnsi="Courier New" w:cs="Courier New"/>
                <w:sz w:val="20"/>
                <w:szCs w:val="20"/>
                <w:lang w:eastAsia="fr-FR"/>
              </w:rPr>
              <w:t>DRIEE Ile de France</w:t>
            </w:r>
          </w:p>
          <w:p w14:paraId="16E37C23" w14:textId="77777777" w:rsidR="002F3DDE" w:rsidRPr="002F3DDE" w:rsidRDefault="002F3DDE" w:rsidP="002F3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20"/>
                <w:szCs w:val="20"/>
                <w:lang w:eastAsia="fr-FR"/>
              </w:rPr>
            </w:pPr>
            <w:r w:rsidRPr="002F3DDE">
              <w:rPr>
                <w:rFonts w:ascii="Courier New" w:eastAsia="Times New Roman" w:hAnsi="Courier New" w:cs="Courier New"/>
                <w:sz w:val="20"/>
                <w:szCs w:val="20"/>
                <w:lang w:eastAsia="fr-FR"/>
              </w:rPr>
              <w:t>Unité départementale des Yvelines</w:t>
            </w:r>
          </w:p>
          <w:p w14:paraId="301E0B3B" w14:textId="77777777" w:rsidR="002F3DDE" w:rsidRPr="002F3DDE" w:rsidRDefault="002F3DDE" w:rsidP="002F3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20"/>
                <w:szCs w:val="20"/>
                <w:lang w:eastAsia="fr-FR"/>
              </w:rPr>
            </w:pPr>
            <w:r w:rsidRPr="002F3DDE">
              <w:rPr>
                <w:rFonts w:ascii="Courier New" w:eastAsia="Times New Roman" w:hAnsi="Courier New" w:cs="Courier New"/>
                <w:sz w:val="20"/>
                <w:szCs w:val="20"/>
                <w:lang w:eastAsia="fr-FR"/>
              </w:rPr>
              <w:t>35, rue de Noailles - Bât. B1 - 78000 VERSAILLES</w:t>
            </w:r>
          </w:p>
        </w:tc>
      </w:tr>
    </w:tbl>
    <w:p w14:paraId="51764752" w14:textId="77777777" w:rsidR="00977213" w:rsidRDefault="000A37D1"/>
    <w:p w14:paraId="419AFDD7" w14:textId="77777777" w:rsidR="00A86E2D" w:rsidRDefault="00A86E2D" w:rsidP="00A86E2D">
      <w:pPr>
        <w:pStyle w:val="Sansinterligne"/>
      </w:pPr>
    </w:p>
    <w:p w14:paraId="7208EDE7" w14:textId="77777777" w:rsidR="00A86E2D" w:rsidRDefault="00A86E2D" w:rsidP="00A86E2D">
      <w:pPr>
        <w:pStyle w:val="Sansinterligne"/>
      </w:pPr>
    </w:p>
    <w:p w14:paraId="5B9BBE16" w14:textId="77777777" w:rsidR="00A86E2D" w:rsidRPr="00A86E2D" w:rsidRDefault="00A86E2D" w:rsidP="00A86E2D">
      <w:pPr>
        <w:pStyle w:val="Sansinterligne"/>
        <w:rPr>
          <w:i/>
        </w:rPr>
      </w:pPr>
      <w:r w:rsidRPr="00A86E2D">
        <w:rPr>
          <w:i/>
        </w:rPr>
        <w:t xml:space="preserve">Copie du courriel sans coordonnées personnelles </w:t>
      </w:r>
    </w:p>
    <w:sectPr w:rsidR="00A86E2D" w:rsidRPr="00A86E2D" w:rsidSect="002F3D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A80BEB"/>
    <w:multiLevelType w:val="multilevel"/>
    <w:tmpl w:val="C4E08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DDE"/>
    <w:rsid w:val="000A37D1"/>
    <w:rsid w:val="002024F3"/>
    <w:rsid w:val="002F3DDE"/>
    <w:rsid w:val="004E56BC"/>
    <w:rsid w:val="009B127F"/>
    <w:rsid w:val="00A86E2D"/>
    <w:rsid w:val="00E435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EAF0D"/>
  <w15:docId w15:val="{D46D4883-AE86-42F3-B03E-23D425589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Sansinterligne"/>
    <w:qFormat/>
    <w:rsid w:val="004E56BC"/>
    <w:pPr>
      <w:spacing w:line="240" w:lineRule="auto"/>
    </w:pPr>
    <w:rPr>
      <w:rFonts w:ascii="Times New Roman" w:hAnsi="Times New Roman"/>
      <w:sz w:val="24"/>
    </w:rPr>
  </w:style>
  <w:style w:type="paragraph" w:styleId="Titre1">
    <w:name w:val="heading 1"/>
    <w:basedOn w:val="Normal"/>
    <w:next w:val="Normal"/>
    <w:link w:val="Titre1Car"/>
    <w:uiPriority w:val="9"/>
    <w:qFormat/>
    <w:rsid w:val="009B127F"/>
    <w:pPr>
      <w:keepNext/>
      <w:keepLines/>
      <w:spacing w:before="480" w:after="0"/>
      <w:outlineLvl w:val="0"/>
    </w:pPr>
    <w:rPr>
      <w:rFonts w:asciiTheme="majorHAnsi" w:eastAsiaTheme="majorEastAsia" w:hAnsiTheme="majorHAnsi" w:cstheme="majorBid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B127F"/>
    <w:pPr>
      <w:spacing w:after="0" w:line="240" w:lineRule="auto"/>
    </w:pPr>
    <w:rPr>
      <w:rFonts w:ascii="Times New Roman" w:hAnsi="Times New Roman"/>
      <w:sz w:val="24"/>
    </w:rPr>
  </w:style>
  <w:style w:type="character" w:customStyle="1" w:styleId="Titre1Car">
    <w:name w:val="Titre 1 Car"/>
    <w:basedOn w:val="Policepardfaut"/>
    <w:link w:val="Titre1"/>
    <w:uiPriority w:val="9"/>
    <w:rsid w:val="009B127F"/>
    <w:rPr>
      <w:rFonts w:asciiTheme="majorHAnsi" w:eastAsiaTheme="majorEastAsia" w:hAnsiTheme="majorHAnsi" w:cstheme="majorBidi"/>
      <w:b/>
      <w:bCs/>
      <w:sz w:val="28"/>
      <w:szCs w:val="28"/>
    </w:rPr>
  </w:style>
  <w:style w:type="character" w:styleId="Lienhypertexte">
    <w:name w:val="Hyperlink"/>
    <w:basedOn w:val="Policepardfaut"/>
    <w:uiPriority w:val="99"/>
    <w:semiHidden/>
    <w:unhideWhenUsed/>
    <w:rsid w:val="002F3DDE"/>
    <w:rPr>
      <w:color w:val="0000FF"/>
      <w:u w:val="single"/>
    </w:rPr>
  </w:style>
  <w:style w:type="paragraph" w:customStyle="1" w:styleId="header-details-link-block">
    <w:name w:val="header-details-link-block"/>
    <w:basedOn w:val="Normal"/>
    <w:rsid w:val="002F3DDE"/>
    <w:pPr>
      <w:spacing w:before="100" w:beforeAutospacing="1" w:after="100" w:afterAutospacing="1"/>
    </w:pPr>
    <w:rPr>
      <w:rFonts w:eastAsia="Times New Roman" w:cs="Times New Roman"/>
      <w:szCs w:val="24"/>
      <w:lang w:eastAsia="fr-FR"/>
    </w:rPr>
  </w:style>
  <w:style w:type="character" w:customStyle="1" w:styleId="view-header-link">
    <w:name w:val="view-header-link"/>
    <w:basedOn w:val="Policepardfaut"/>
    <w:rsid w:val="002F3DDE"/>
  </w:style>
  <w:style w:type="paragraph" w:styleId="NormalWeb">
    <w:name w:val="Normal (Web)"/>
    <w:basedOn w:val="Normal"/>
    <w:uiPriority w:val="99"/>
    <w:unhideWhenUsed/>
    <w:rsid w:val="002F3DDE"/>
    <w:pPr>
      <w:spacing w:before="100" w:beforeAutospacing="1" w:after="100" w:afterAutospacing="1"/>
    </w:pPr>
    <w:rPr>
      <w:rFonts w:eastAsia="Times New Roman" w:cs="Times New Roman"/>
      <w:szCs w:val="24"/>
      <w:lang w:eastAsia="fr-FR"/>
    </w:rPr>
  </w:style>
  <w:style w:type="paragraph" w:styleId="PrformatHTML">
    <w:name w:val="HTML Preformatted"/>
    <w:basedOn w:val="Normal"/>
    <w:link w:val="PrformatHTMLCar"/>
    <w:uiPriority w:val="99"/>
    <w:unhideWhenUsed/>
    <w:rsid w:val="002F3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2F3DDE"/>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2427013">
      <w:bodyDiv w:val="1"/>
      <w:marLeft w:val="0"/>
      <w:marRight w:val="0"/>
      <w:marTop w:val="0"/>
      <w:marBottom w:val="0"/>
      <w:divBdr>
        <w:top w:val="none" w:sz="0" w:space="0" w:color="auto"/>
        <w:left w:val="none" w:sz="0" w:space="0" w:color="auto"/>
        <w:bottom w:val="none" w:sz="0" w:space="0" w:color="auto"/>
        <w:right w:val="none" w:sz="0" w:space="0" w:color="auto"/>
      </w:divBdr>
      <w:divsChild>
        <w:div w:id="1669092096">
          <w:marLeft w:val="0"/>
          <w:marRight w:val="0"/>
          <w:marTop w:val="0"/>
          <w:marBottom w:val="0"/>
          <w:divBdr>
            <w:top w:val="none" w:sz="0" w:space="8" w:color="auto"/>
            <w:left w:val="none" w:sz="0" w:space="8" w:color="auto"/>
            <w:bottom w:val="single" w:sz="6" w:space="8" w:color="CCCCCC"/>
            <w:right w:val="none" w:sz="0" w:space="8" w:color="auto"/>
          </w:divBdr>
          <w:divsChild>
            <w:div w:id="107658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mail1p.orange.fr/webmail/fr_FR/read.html?FOLDER=SF_INBOX&amp;IDMSG=65728&amp;check=&amp;SORTBY=1" TargetMode="External"/><Relationship Id="rId5" Type="http://schemas.openxmlformats.org/officeDocument/2006/relationships/hyperlink" Target="https://webmail1p.orange.fr/webmail/fr_FR/read.html?FOLDER=SF_INBOX&amp;IDMSG=65728&amp;check=&amp;SORTBY=1"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4127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Véro BOSSÉ</cp:lastModifiedBy>
  <cp:revision>2</cp:revision>
  <dcterms:created xsi:type="dcterms:W3CDTF">2020-11-26T06:32:00Z</dcterms:created>
  <dcterms:modified xsi:type="dcterms:W3CDTF">2020-11-26T06:32:00Z</dcterms:modified>
</cp:coreProperties>
</file>